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BA" w:rsidRPr="007D605C" w:rsidRDefault="001F49BA" w:rsidP="001F49BA">
      <w:pPr>
        <w:rPr>
          <w:b/>
        </w:rPr>
      </w:pPr>
      <w:r>
        <w:rPr>
          <w:b/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7612910E" wp14:editId="4153AC83">
            <wp:simplePos x="0" y="0"/>
            <wp:positionH relativeFrom="column">
              <wp:posOffset>4219575</wp:posOffset>
            </wp:positionH>
            <wp:positionV relativeFrom="page">
              <wp:posOffset>382905</wp:posOffset>
            </wp:positionV>
            <wp:extent cx="2162175" cy="714375"/>
            <wp:effectExtent l="0" t="0" r="9525" b="9525"/>
            <wp:wrapNone/>
            <wp:docPr id="2" name="Billede 2" descr="Nanoq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noq_logo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D605C">
        <w:rPr>
          <w:b/>
        </w:rPr>
        <w:t>Aningaasaqarnermut</w:t>
      </w:r>
      <w:proofErr w:type="spellEnd"/>
      <w:r w:rsidRPr="007D605C">
        <w:rPr>
          <w:b/>
        </w:rPr>
        <w:t xml:space="preserve"> </w:t>
      </w:r>
      <w:proofErr w:type="spellStart"/>
      <w:r w:rsidRPr="007D605C">
        <w:rPr>
          <w:b/>
        </w:rPr>
        <w:t>Naalakkersuisoqarfik</w:t>
      </w:r>
      <w:proofErr w:type="spellEnd"/>
    </w:p>
    <w:p w:rsidR="001F49BA" w:rsidRDefault="001F49BA" w:rsidP="001F49BA">
      <w:r>
        <w:t>Finansdep</w:t>
      </w:r>
      <w:r w:rsidRPr="007D605C">
        <w:t xml:space="preserve">artementet </w:t>
      </w:r>
    </w:p>
    <w:p w:rsidR="001F49BA" w:rsidRPr="007D605C" w:rsidRDefault="001F49BA" w:rsidP="001F49BA">
      <w:pPr>
        <w:rPr>
          <w:sz w:val="12"/>
          <w:szCs w:val="12"/>
        </w:rPr>
      </w:pPr>
    </w:p>
    <w:p w:rsidR="001F49BA" w:rsidRPr="007D605C" w:rsidRDefault="001F49BA" w:rsidP="001F49BA">
      <w:pPr>
        <w:rPr>
          <w:sz w:val="12"/>
          <w:szCs w:val="12"/>
        </w:rPr>
      </w:pPr>
      <w:proofErr w:type="spellStart"/>
      <w:r w:rsidRPr="007D605C">
        <w:rPr>
          <w:sz w:val="12"/>
          <w:szCs w:val="12"/>
        </w:rPr>
        <w:t>Aningaasaqarnermut</w:t>
      </w:r>
      <w:proofErr w:type="spellEnd"/>
      <w:r w:rsidRPr="007D605C">
        <w:rPr>
          <w:sz w:val="12"/>
          <w:szCs w:val="12"/>
        </w:rPr>
        <w:t xml:space="preserve"> </w:t>
      </w:r>
      <w:proofErr w:type="spellStart"/>
      <w:r w:rsidRPr="007D605C">
        <w:rPr>
          <w:sz w:val="12"/>
          <w:szCs w:val="12"/>
        </w:rPr>
        <w:t>Sulisoqarnermullu</w:t>
      </w:r>
      <w:proofErr w:type="spellEnd"/>
      <w:r w:rsidRPr="007D605C">
        <w:rPr>
          <w:sz w:val="12"/>
          <w:szCs w:val="12"/>
        </w:rPr>
        <w:t xml:space="preserve"> </w:t>
      </w:r>
      <w:proofErr w:type="spellStart"/>
      <w:r w:rsidRPr="007D605C">
        <w:rPr>
          <w:sz w:val="12"/>
          <w:szCs w:val="12"/>
        </w:rPr>
        <w:t>Aqutsisoqarfik</w:t>
      </w:r>
      <w:proofErr w:type="spellEnd"/>
    </w:p>
    <w:p w:rsidR="001F49BA" w:rsidRDefault="001F49BA" w:rsidP="001F49BA">
      <w:pPr>
        <w:rPr>
          <w:sz w:val="12"/>
          <w:szCs w:val="12"/>
        </w:rPr>
      </w:pPr>
      <w:r w:rsidRPr="00266119">
        <w:rPr>
          <w:sz w:val="12"/>
          <w:szCs w:val="12"/>
        </w:rPr>
        <w:t>Økonomi- og Personalestyrelsen</w: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20E031E" wp14:editId="2E9A7476">
                <wp:simplePos x="0" y="0"/>
                <wp:positionH relativeFrom="column">
                  <wp:posOffset>635</wp:posOffset>
                </wp:positionH>
                <wp:positionV relativeFrom="page">
                  <wp:posOffset>473710</wp:posOffset>
                </wp:positionV>
                <wp:extent cx="4939030" cy="295910"/>
                <wp:effectExtent l="1905" t="0" r="2540" b="1905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A" w:rsidRPr="00266119" w:rsidRDefault="001F49BA" w:rsidP="001F49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.05pt;margin-top:37.3pt;width:388.9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" o:allowincell="f" filled="f" stroked="f">
                <v:textbox inset="0,0,0,0">
                  <w:txbxContent>
                    <w:p w:rsidR="001F49BA" w:rsidRPr="00266119" w:rsidRDefault="001F49BA" w:rsidP="001F49BA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Nuuk </w:t>
      </w:r>
      <w:r w:rsidR="00E5537E">
        <w:rPr>
          <w:sz w:val="12"/>
          <w:szCs w:val="12"/>
        </w:rPr>
        <w:t>11</w:t>
      </w:r>
      <w:r>
        <w:rPr>
          <w:sz w:val="12"/>
          <w:szCs w:val="12"/>
        </w:rPr>
        <w:t>.</w:t>
      </w:r>
      <w:r w:rsidR="00E5537E">
        <w:rPr>
          <w:sz w:val="12"/>
          <w:szCs w:val="12"/>
        </w:rPr>
        <w:t>april</w:t>
      </w:r>
      <w:r>
        <w:rPr>
          <w:sz w:val="12"/>
          <w:szCs w:val="12"/>
        </w:rPr>
        <w:t xml:space="preserve"> 201</w:t>
      </w:r>
      <w:r w:rsidR="00E5537E">
        <w:rPr>
          <w:sz w:val="12"/>
          <w:szCs w:val="12"/>
        </w:rPr>
        <w:t>7</w:t>
      </w:r>
      <w:bookmarkStart w:id="0" w:name="_GoBack"/>
      <w:bookmarkEnd w:id="0"/>
    </w:p>
    <w:p w:rsidR="001F49BA" w:rsidRDefault="001F49BA" w:rsidP="001F49BA">
      <w:pPr>
        <w:rPr>
          <w:sz w:val="12"/>
          <w:szCs w:val="12"/>
        </w:rPr>
      </w:pPr>
    </w:p>
    <w:p w:rsidR="001F49BA" w:rsidRDefault="001F49BA" w:rsidP="001F49BA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24"/>
      </w:tblGrid>
      <w:tr w:rsidR="001F49BA" w:rsidRPr="007277E7" w:rsidTr="00531F2A">
        <w:tc>
          <w:tcPr>
            <w:tcW w:w="7824" w:type="dxa"/>
            <w:tcMar>
              <w:left w:w="0" w:type="dxa"/>
              <w:right w:w="0" w:type="dxa"/>
            </w:tcMar>
          </w:tcPr>
          <w:p w:rsidR="001F49BA" w:rsidRPr="004804FF" w:rsidRDefault="001F49BA" w:rsidP="00531F2A">
            <w:pPr>
              <w:rPr>
                <w:b/>
              </w:rPr>
            </w:pPr>
            <w:r>
              <w:rPr>
                <w:b/>
              </w:rPr>
              <w:t>Vejledning til ”Aftale om procedurer for afregning af mellemværender mellem Kommunerne og Selvstyret”.</w:t>
            </w:r>
          </w:p>
        </w:tc>
      </w:tr>
    </w:tbl>
    <w:p w:rsidR="001F49BA" w:rsidRPr="00266119" w:rsidRDefault="001F49BA" w:rsidP="001F49BA">
      <w:pPr>
        <w:rPr>
          <w:sz w:val="12"/>
          <w:szCs w:val="12"/>
        </w:rPr>
      </w:pPr>
    </w:p>
    <w:p w:rsidR="001F49BA" w:rsidRDefault="001F49BA" w:rsidP="001F49BA">
      <w:r>
        <w:t xml:space="preserve">Forord: </w:t>
      </w:r>
    </w:p>
    <w:p w:rsidR="005D0173" w:rsidRDefault="001F49BA" w:rsidP="001F49BA">
      <w:r w:rsidRPr="00E4206F">
        <w:t>Formålet med procedurerne er at effektivisere afregning af mellemværender mellem kommunerne og Selvstyret</w:t>
      </w:r>
      <w:r>
        <w:t xml:space="preserve">. Aftalen medfører en forenkling af administrationen hos parterne.  Aftalen medfører endvidere, at ansvaret placeres tydeligt hos Selvstyrets departementer og hos kommunerne for de mellemværender, der afregnes løbende.  </w:t>
      </w:r>
    </w:p>
    <w:p w:rsidR="005D0173" w:rsidRDefault="005D0173" w:rsidP="001F49BA"/>
    <w:p w:rsidR="001F49BA" w:rsidRDefault="001F49BA" w:rsidP="001F49BA">
      <w:r>
        <w:t>Aftalen medfører endvidere, at ”Selvstyrebalancen” henholdsvis ”Kommunebalancen”</w:t>
      </w:r>
      <w:r w:rsidR="009C08B9">
        <w:t xml:space="preserve"> ikke længere kan bruges til at bogføre i.  </w:t>
      </w:r>
      <w:r w:rsidR="00C04B11">
        <w:t>Endelig medfører aftalen, at der er blevet oprettet nye kommunale konti, der erstatter de konti i balancen, der ikke længere kan bruges</w:t>
      </w:r>
      <w:r w:rsidR="009C08B9">
        <w:t>.</w:t>
      </w:r>
    </w:p>
    <w:p w:rsidR="00FB17A8" w:rsidRDefault="00FB17A8" w:rsidP="008E4896"/>
    <w:p w:rsidR="001F49BA" w:rsidRDefault="00FD0D84">
      <w:r w:rsidRPr="005A495F">
        <w:t>Denne vejledning erstatter det der tidligere hed ”Kommunernes k</w:t>
      </w:r>
      <w:r w:rsidRPr="008E4896">
        <w:t>onteringsvejledning til Grønlands Selvstyres konti”.</w:t>
      </w:r>
      <w:r w:rsidR="00FB17A8" w:rsidRPr="008E4896">
        <w:t xml:space="preserve"> </w:t>
      </w:r>
    </w:p>
    <w:p w:rsidR="00A5572D" w:rsidRDefault="00A5572D"/>
    <w:p w:rsidR="00FB17A8" w:rsidRDefault="00A5572D">
      <w:r>
        <w:t>Vejledningen er opbygget sådan, at under overskriften er Selvstyredelen beskrevet først (hvor regningen / fakturaen skal sendes hen), og under linjen står kommunedelen (hvor kommunens kontonumre, der skal bruges er bekrevet).</w:t>
      </w:r>
    </w:p>
    <w:p w:rsidR="001F49BA" w:rsidRPr="008E4896" w:rsidRDefault="001F49BA" w:rsidP="008E4896">
      <w:pPr>
        <w:pStyle w:val="Overskrift2"/>
      </w:pPr>
      <w:r w:rsidRPr="005A495F">
        <w:t>Vedrørende procedurer generelt:</w:t>
      </w:r>
    </w:p>
    <w:p w:rsidR="001F49BA" w:rsidRPr="008E4896" w:rsidRDefault="001F49BA"/>
    <w:p w:rsidR="001F49BA" w:rsidRDefault="001F49BA" w:rsidP="001F49BA">
      <w:r w:rsidRPr="00E4206F">
        <w:rPr>
          <w:b/>
        </w:rPr>
        <w:t>Alle mellemværender mellem kommunerne og Selvstyret skal ske ved udstedelse af regninger/fakturaer eller kreditnotaer.</w:t>
      </w:r>
      <w:r>
        <w:t xml:space="preserve">  </w:t>
      </w:r>
    </w:p>
    <w:p w:rsidR="001F49BA" w:rsidRDefault="001F49BA" w:rsidP="001F49BA">
      <w:r>
        <w:t>Det vil sige, at parterne sender regninger/fakturaer til hinanden. Såfremt den ene part ikke vil godkende den modtagne regning/faktura, skal den modtagende part anmode modparten om en kreditnota til den fremsendte faktura og fremsende en ny regning/faktura med en tydelig begrundelse for, hvorfor man ikke vil godkende den fremsendte regning/faktura. I mellemtiden parkeres regningen/fakturaen indtil kreditnotaen modtages, således den modtagne regning/faktura godkendes samtidig med en kreditnota.</w:t>
      </w:r>
    </w:p>
    <w:p w:rsidR="001F49BA" w:rsidRDefault="001F49BA" w:rsidP="001F49BA">
      <w:r>
        <w:t xml:space="preserve">Det vil ikke længere være muligt at bruge kreditnotaer til betaling af noget, man ikke har fået en regning/faktura på. </w:t>
      </w:r>
    </w:p>
    <w:p w:rsidR="001F49BA" w:rsidRDefault="001F49BA" w:rsidP="001F49BA"/>
    <w:p w:rsidR="001F49BA" w:rsidRDefault="001F49BA" w:rsidP="001F49BA">
      <w:r>
        <w:t>Begge parter laver månedlige afstemninger af mellemværender mellem parterne.</w:t>
      </w:r>
    </w:p>
    <w:p w:rsidR="001F49BA" w:rsidRDefault="001F49BA" w:rsidP="001F49BA"/>
    <w:p w:rsidR="001F49BA" w:rsidRPr="00054F63" w:rsidRDefault="001F49BA" w:rsidP="001F49BA">
      <w:pPr>
        <w:rPr>
          <w:b/>
        </w:rPr>
      </w:pPr>
      <w:r>
        <w:rPr>
          <w:b/>
        </w:rPr>
        <w:t>Betalingsbetingelser</w:t>
      </w:r>
    </w:p>
    <w:p w:rsidR="001F49BA" w:rsidRDefault="001F49BA" w:rsidP="001F49BA">
      <w:r>
        <w:rPr>
          <w:u w:val="single"/>
        </w:rPr>
        <w:t>Vedrørende betalingsbetingelser:</w:t>
      </w:r>
    </w:p>
    <w:p w:rsidR="001F49BA" w:rsidRDefault="001F49BA" w:rsidP="001F49BA">
      <w:r>
        <w:t>Betalingsbetingelserne for begge parter er løbende måned + 10 dage.  Eksempel: Regning/faktura fremsendes den 4. i en måned.  Den skal betales senest den 10. i efterfølgende måned.</w:t>
      </w:r>
    </w:p>
    <w:p w:rsidR="001F49BA" w:rsidRDefault="001F49BA" w:rsidP="001F49BA"/>
    <w:p w:rsidR="001F49BA" w:rsidRDefault="001F49BA" w:rsidP="001F49BA">
      <w:r>
        <w:t xml:space="preserve">Undtaget fra betalingsbetingelserne er regninger sendt fra kommunerne vedrørende punkttilskud, mere herom i afsnittet om punktilskud.  </w:t>
      </w:r>
    </w:p>
    <w:p w:rsidR="001F49BA" w:rsidRPr="00CF0694" w:rsidRDefault="001F49BA" w:rsidP="001F49BA">
      <w:pPr>
        <w:pStyle w:val="Overskrift1"/>
      </w:pPr>
      <w:r w:rsidRPr="00054F63">
        <w:lastRenderedPageBreak/>
        <w:t>Vedrørende ”Bloktilskud”:</w:t>
      </w:r>
    </w:p>
    <w:p w:rsidR="001F49BA" w:rsidRDefault="001F49BA" w:rsidP="001F49BA">
      <w:r>
        <w:t>Definition af ”Bloktilskud”: Med ”Bloktilskud” menes her to forskellige finanslovskonti.  Definitionen er en videreførelse af det, man kendte fra Kommunebalancen.</w:t>
      </w:r>
    </w:p>
    <w:p w:rsidR="001F49BA" w:rsidRDefault="001F49BA" w:rsidP="001F49BA"/>
    <w:p w:rsidR="001F49BA" w:rsidRDefault="001F49BA" w:rsidP="001F49BA">
      <w:r>
        <w:t xml:space="preserve">Det drejer sig i dag om finanslovskontiene ”20.05.20 Bloktilskud til kommunerne” og ”24.10.10 Landsskat”.  For begge finanslovskonti gælder det, at størrelsen bliver fastlagt af </w:t>
      </w:r>
      <w:proofErr w:type="spellStart"/>
      <w:r>
        <w:t>Inatsisartut</w:t>
      </w:r>
      <w:proofErr w:type="spellEnd"/>
      <w:r>
        <w:t xml:space="preserve"> hvert år.  </w:t>
      </w:r>
    </w:p>
    <w:p w:rsidR="001F49BA" w:rsidRDefault="001F49BA" w:rsidP="001F49BA"/>
    <w:p w:rsidR="001F49BA" w:rsidRDefault="001F49BA" w:rsidP="001F49BA">
      <w:r>
        <w:t xml:space="preserve">Regningen, der skal laves hver måned, er det beløb, som kommunen skal have i henhold til enhver tid gældende finanslov. Størrelsen af beløbene ses i </w:t>
      </w:r>
      <w:r w:rsidR="00440CA8">
        <w:t>fremsendte</w:t>
      </w:r>
      <w:r>
        <w:t xml:space="preserve"> </w:t>
      </w:r>
      <w:proofErr w:type="spellStart"/>
      <w:r>
        <w:t>excell</w:t>
      </w:r>
      <w:proofErr w:type="spellEnd"/>
      <w:r>
        <w:t xml:space="preserve"> ark</w:t>
      </w:r>
      <w:r w:rsidR="00440CA8">
        <w:t xml:space="preserve">, som sendes til kommunerne hvert år fra </w:t>
      </w:r>
      <w:proofErr w:type="spellStart"/>
      <w:r w:rsidR="00440CA8">
        <w:t>DcR</w:t>
      </w:r>
      <w:proofErr w:type="spellEnd"/>
      <w:r w:rsidR="00440CA8">
        <w:t>.</w:t>
      </w:r>
    </w:p>
    <w:p w:rsidR="001F49BA" w:rsidRDefault="001F49BA" w:rsidP="001F49BA"/>
    <w:p w:rsidR="001F49BA" w:rsidRDefault="001F49BA" w:rsidP="001F49BA">
      <w:r>
        <w:t>Der kan dog ske reguleringer i midlerne i løbet af et år, og i de tilfælde, vil et tilrettet regneark blive sendt til kommunerne fra Selvstyret.</w:t>
      </w:r>
    </w:p>
    <w:p w:rsidR="001F49BA" w:rsidRDefault="001F49BA" w:rsidP="001F49BA"/>
    <w:p w:rsidR="001F49BA" w:rsidRDefault="001F49BA" w:rsidP="001F49BA">
      <w:r>
        <w:t xml:space="preserve">Beløbet skal sendes samlet som én faktura. </w:t>
      </w:r>
    </w:p>
    <w:p w:rsidR="00440CA8" w:rsidRDefault="00440CA8" w:rsidP="001F49BA"/>
    <w:p w:rsidR="001F49BA" w:rsidRPr="00670DAC" w:rsidRDefault="001F49BA" w:rsidP="001F49BA">
      <w:pPr>
        <w:rPr>
          <w:b/>
        </w:rPr>
      </w:pPr>
      <w:r>
        <w:rPr>
          <w:b/>
        </w:rPr>
        <w:t xml:space="preserve">Husk: At sætte </w:t>
      </w:r>
      <w:r w:rsidRPr="008E4896">
        <w:rPr>
          <w:b/>
          <w:u w:val="single"/>
        </w:rPr>
        <w:t>forfaldsdatoen</w:t>
      </w:r>
      <w:r>
        <w:rPr>
          <w:b/>
        </w:rPr>
        <w:t xml:space="preserve"> på bloktilskudsfakturaen til at være den 1. hverdag i den kommende måned.</w:t>
      </w:r>
    </w:p>
    <w:p w:rsidR="001F49BA" w:rsidRDefault="001F49BA" w:rsidP="001F49BA"/>
    <w:p w:rsidR="001F49BA" w:rsidRDefault="001F49BA" w:rsidP="001F49BA">
      <w:r>
        <w:t xml:space="preserve">Kommunens regning/faktura på månedens bloktilskud sendes til </w:t>
      </w:r>
      <w:hyperlink r:id="rId10" w:history="1">
        <w:r w:rsidRPr="002D25C3">
          <w:rPr>
            <w:rStyle w:val="Hyperlink"/>
            <w:rFonts w:eastAsiaTheme="majorEastAsia"/>
          </w:rPr>
          <w:t>faktura@nanoq.gl</w:t>
        </w:r>
      </w:hyperlink>
      <w:r>
        <w:t xml:space="preserve">.  Regningen/fakturaen skal sendes til Departementet for Finanser med brug af </w:t>
      </w:r>
      <w:proofErr w:type="spellStart"/>
      <w:r>
        <w:t>DcR´s</w:t>
      </w:r>
      <w:proofErr w:type="spellEnd"/>
      <w:r>
        <w:t xml:space="preserve"> GLN nummer </w:t>
      </w:r>
      <w:proofErr w:type="gramStart"/>
      <w:r w:rsidRPr="008E4896">
        <w:rPr>
          <w:b/>
          <w:u w:val="single"/>
        </w:rPr>
        <w:t>5790001955243</w:t>
      </w:r>
      <w:proofErr w:type="gramEnd"/>
      <w:r w:rsidRPr="008E4896">
        <w:rPr>
          <w:b/>
          <w:u w:val="single"/>
        </w:rPr>
        <w:t>.</w:t>
      </w:r>
      <w:r>
        <w:t xml:space="preserve">  Departementet for Finanser har bemyndiget </w:t>
      </w:r>
      <w:proofErr w:type="spellStart"/>
      <w:r>
        <w:t>DcR</w:t>
      </w:r>
      <w:proofErr w:type="spellEnd"/>
      <w:r>
        <w:t xml:space="preserve"> til at godkende regninger/fakturaer vedr. bloktilskud. </w:t>
      </w:r>
    </w:p>
    <w:p w:rsidR="001F49BA" w:rsidRDefault="001F49BA" w:rsidP="001F49BA"/>
    <w:p w:rsidR="001F49BA" w:rsidRDefault="001F49BA" w:rsidP="001F49BA">
      <w:r>
        <w:t xml:space="preserve">Regning/faktura vedr. bloktilskuddet skal fremsendes Selvstyret midt i måneden, således </w:t>
      </w:r>
      <w:proofErr w:type="spellStart"/>
      <w:r>
        <w:t>DcR</w:t>
      </w:r>
      <w:proofErr w:type="spellEnd"/>
      <w:r>
        <w:t xml:space="preserve"> har tid til at lave eventuelle modregninger inden bloktilskuddet udbetales.  Se afsnittet om modregning herom.</w:t>
      </w:r>
    </w:p>
    <w:p w:rsidR="001F49BA" w:rsidRDefault="001F49BA" w:rsidP="001F49BA"/>
    <w:p w:rsidR="001F49BA" w:rsidRDefault="001F49BA" w:rsidP="001F49BA">
      <w:r>
        <w:t>Adressen på fakturaen til bloktilskuddet skal se sådan ud:</w:t>
      </w:r>
    </w:p>
    <w:p w:rsidR="001F49BA" w:rsidRDefault="001F49BA" w:rsidP="001F49BA"/>
    <w:p w:rsidR="001F49BA" w:rsidRDefault="001F49BA" w:rsidP="001F49BA">
      <w:r>
        <w:t>BLOKTILSKUD</w:t>
      </w:r>
    </w:p>
    <w:p w:rsidR="001F49BA" w:rsidRDefault="001F49BA" w:rsidP="001F49BA">
      <w:r>
        <w:t>Departementet for Finanser</w:t>
      </w:r>
    </w:p>
    <w:p w:rsidR="001F49BA" w:rsidRDefault="001F49BA" w:rsidP="001F49BA">
      <w:r>
        <w:t>3900 Nuuk</w:t>
      </w:r>
    </w:p>
    <w:p w:rsidR="001F49BA" w:rsidRDefault="001F49BA" w:rsidP="001F49BA">
      <w:r w:rsidRPr="008E4896">
        <w:rPr>
          <w:b/>
          <w:u w:val="single"/>
        </w:rPr>
        <w:t xml:space="preserve">GLN nr. </w:t>
      </w:r>
      <w:proofErr w:type="gramStart"/>
      <w:r w:rsidRPr="008E4896">
        <w:rPr>
          <w:b/>
          <w:u w:val="single"/>
        </w:rPr>
        <w:t>5790001955243</w:t>
      </w:r>
      <w:proofErr w:type="gramEnd"/>
      <w:r w:rsidRPr="008E4896">
        <w:rPr>
          <w:b/>
          <w:u w:val="single"/>
        </w:rPr>
        <w:t>.</w:t>
      </w:r>
    </w:p>
    <w:p w:rsidR="00440CA8" w:rsidRDefault="00440CA8" w:rsidP="001F49BA">
      <w:pPr>
        <w:pBdr>
          <w:bottom w:val="single" w:sz="12" w:space="1" w:color="auto"/>
        </w:pBdr>
      </w:pPr>
    </w:p>
    <w:p w:rsidR="00A5572D" w:rsidRDefault="00A5572D" w:rsidP="001F49BA"/>
    <w:p w:rsidR="00440CA8" w:rsidRPr="00C417C2" w:rsidRDefault="00440CA8" w:rsidP="00C417C2">
      <w:pPr>
        <w:rPr>
          <w:rFonts w:cs="Arial"/>
          <w:bCs/>
        </w:rPr>
      </w:pPr>
      <w:r w:rsidRPr="00C417C2">
        <w:t xml:space="preserve">Kommunerne bogfører bloktilskuddet på konto </w:t>
      </w:r>
      <w:r w:rsidR="00C417C2" w:rsidRPr="00C417C2">
        <w:t>83-01-00-82-XX</w:t>
      </w:r>
      <w:r w:rsidRPr="00C417C2">
        <w:t xml:space="preserve">.  </w:t>
      </w:r>
      <w:r w:rsidR="00C417C2" w:rsidRPr="00C417C2">
        <w:t>A</w:t>
      </w:r>
      <w:r w:rsidRPr="00C417C2">
        <w:t>ndele af bloktilskuddet bogføres på d</w:t>
      </w:r>
      <w:r w:rsidR="00C417C2" w:rsidRPr="00C417C2">
        <w:t>e</w:t>
      </w:r>
      <w:r w:rsidRPr="00C417C2">
        <w:rPr>
          <w:rFonts w:cs="Arial"/>
          <w:bCs/>
        </w:rPr>
        <w:t xml:space="preserve"> </w:t>
      </w:r>
    </w:p>
    <w:p w:rsidR="00440CA8" w:rsidRPr="00C417C2" w:rsidRDefault="00C417C2" w:rsidP="00440CA8">
      <w:pPr>
        <w:tabs>
          <w:tab w:val="left" w:pos="850"/>
          <w:tab w:val="left" w:pos="1983"/>
          <w:tab w:val="left" w:pos="2551"/>
          <w:tab w:val="left" w:pos="2880"/>
        </w:tabs>
        <w:ind w:left="1984" w:hanging="1984"/>
        <w:jc w:val="both"/>
        <w:outlineLvl w:val="0"/>
        <w:rPr>
          <w:rFonts w:cs="Arial"/>
        </w:rPr>
      </w:pPr>
      <w:r w:rsidRPr="00C417C2">
        <w:rPr>
          <w:rFonts w:cs="Arial"/>
        </w:rPr>
        <w:t>Kommunale konti, d</w:t>
      </w:r>
      <w:r>
        <w:rPr>
          <w:rFonts w:cs="Arial"/>
        </w:rPr>
        <w:t>er er vedlagt som bilag til denne vejledning.</w:t>
      </w:r>
    </w:p>
    <w:p w:rsidR="005D0173" w:rsidRPr="00C417C2" w:rsidRDefault="005D0173"/>
    <w:p w:rsidR="001F49BA" w:rsidRPr="00CF0694" w:rsidRDefault="001F49BA" w:rsidP="001F49BA">
      <w:pPr>
        <w:pStyle w:val="Overskrift1"/>
      </w:pPr>
      <w:r w:rsidRPr="00054F63">
        <w:t>Vedrørende ”Punkttilskud”:</w:t>
      </w:r>
    </w:p>
    <w:p w:rsidR="001F49BA" w:rsidRDefault="001F49BA" w:rsidP="001F49BA">
      <w:pPr>
        <w:rPr>
          <w:b/>
        </w:rPr>
      </w:pPr>
    </w:p>
    <w:p w:rsidR="001F49BA" w:rsidRPr="008E4896" w:rsidRDefault="00F07FCE" w:rsidP="001F49BA">
      <w:pPr>
        <w:rPr>
          <w:b/>
          <w:sz w:val="22"/>
          <w:szCs w:val="22"/>
        </w:rPr>
      </w:pPr>
      <w:r w:rsidRPr="008E4896">
        <w:rPr>
          <w:b/>
          <w:sz w:val="22"/>
          <w:szCs w:val="22"/>
        </w:rPr>
        <w:t>Departementet for Uddannelse, Kultur, Forskning og Kirkes (</w:t>
      </w:r>
      <w:proofErr w:type="spellStart"/>
      <w:r w:rsidR="001F49BA" w:rsidRPr="008E4896">
        <w:rPr>
          <w:b/>
          <w:sz w:val="22"/>
          <w:szCs w:val="22"/>
        </w:rPr>
        <w:t>IKIIN´s</w:t>
      </w:r>
      <w:proofErr w:type="spellEnd"/>
      <w:r w:rsidRPr="008E4896">
        <w:rPr>
          <w:b/>
          <w:sz w:val="22"/>
          <w:szCs w:val="22"/>
        </w:rPr>
        <w:t>)</w:t>
      </w:r>
      <w:r w:rsidR="001F49BA" w:rsidRPr="008E4896">
        <w:rPr>
          <w:b/>
          <w:sz w:val="22"/>
          <w:szCs w:val="22"/>
        </w:rPr>
        <w:t xml:space="preserve"> område</w:t>
      </w:r>
    </w:p>
    <w:p w:rsidR="001F49BA" w:rsidRDefault="001F49BA" w:rsidP="001F49BA">
      <w:pPr>
        <w:pBdr>
          <w:bottom w:val="single" w:sz="12" w:space="1" w:color="auto"/>
        </w:pBdr>
        <w:rPr>
          <w:b/>
        </w:rPr>
      </w:pPr>
      <w:r>
        <w:t>Regninger/fakturaer der vedrører punkttilskud, der er på Departementet for Uddannelse, Kultur, Forskning og Kirkes (</w:t>
      </w:r>
      <w:proofErr w:type="spellStart"/>
      <w:r>
        <w:t>IKIIN`s</w:t>
      </w:r>
      <w:proofErr w:type="spellEnd"/>
      <w:r>
        <w:t xml:space="preserve">) område, Selvstyrets hovedkonti ”40.02.07 Særydelser, rejseudgifter mm, institutionerne” skal sendes til Departementet med GLN nummer </w:t>
      </w:r>
      <w:proofErr w:type="gramStart"/>
      <w:r w:rsidRPr="008E4896">
        <w:rPr>
          <w:b/>
        </w:rPr>
        <w:t>5790001953584</w:t>
      </w:r>
      <w:proofErr w:type="gramEnd"/>
      <w:r w:rsidRPr="008E4896">
        <w:rPr>
          <w:b/>
        </w:rPr>
        <w:t>.</w:t>
      </w:r>
    </w:p>
    <w:p w:rsidR="00A5572D" w:rsidRDefault="00A5572D" w:rsidP="001F49BA">
      <w:pPr>
        <w:pBdr>
          <w:bottom w:val="single" w:sz="12" w:space="1" w:color="auto"/>
        </w:pBdr>
      </w:pPr>
    </w:p>
    <w:p w:rsidR="008634DF" w:rsidRDefault="008634DF">
      <w:pPr>
        <w:tabs>
          <w:tab w:val="left" w:pos="850"/>
          <w:tab w:val="left" w:pos="1983"/>
        </w:tabs>
        <w:ind w:left="1983" w:hanging="1983"/>
        <w:jc w:val="both"/>
        <w:rPr>
          <w:rFonts w:cs="Arial"/>
          <w:noProof/>
        </w:rPr>
      </w:pPr>
    </w:p>
    <w:p w:rsidR="008634DF" w:rsidRDefault="008739D0">
      <w:pPr>
        <w:tabs>
          <w:tab w:val="left" w:pos="850"/>
          <w:tab w:val="left" w:pos="1983"/>
        </w:tabs>
        <w:ind w:left="1983" w:hanging="1983"/>
        <w:jc w:val="both"/>
        <w:rPr>
          <w:rFonts w:cs="Arial"/>
          <w:noProof/>
        </w:rPr>
      </w:pPr>
      <w:r>
        <w:rPr>
          <w:rFonts w:cs="Arial"/>
          <w:noProof/>
        </w:rPr>
        <w:lastRenderedPageBreak/>
        <w:t xml:space="preserve">Kommunerne bogfører refusioner på IKIIN´s område på de kommunale konti, der er vedlagt som bilag til </w:t>
      </w:r>
    </w:p>
    <w:p w:rsidR="00A5572D" w:rsidRDefault="008739D0">
      <w:pPr>
        <w:tabs>
          <w:tab w:val="left" w:pos="850"/>
          <w:tab w:val="left" w:pos="1983"/>
        </w:tabs>
        <w:ind w:left="1983" w:hanging="1983"/>
        <w:jc w:val="both"/>
        <w:rPr>
          <w:rFonts w:cs="Arial"/>
          <w:noProof/>
        </w:rPr>
      </w:pPr>
      <w:r>
        <w:rPr>
          <w:rFonts w:cs="Arial"/>
          <w:noProof/>
        </w:rPr>
        <w:t>denne vejledning.</w:t>
      </w:r>
    </w:p>
    <w:p w:rsidR="008739D0" w:rsidRDefault="008739D0">
      <w:pPr>
        <w:tabs>
          <w:tab w:val="left" w:pos="850"/>
          <w:tab w:val="left" w:pos="1983"/>
        </w:tabs>
        <w:ind w:left="1983" w:hanging="1983"/>
        <w:jc w:val="both"/>
        <w:rPr>
          <w:rFonts w:cs="Arial"/>
          <w:noProof/>
        </w:rPr>
      </w:pPr>
    </w:p>
    <w:p w:rsidR="008739D0" w:rsidRDefault="008739D0">
      <w:pPr>
        <w:tabs>
          <w:tab w:val="left" w:pos="850"/>
          <w:tab w:val="left" w:pos="1983"/>
        </w:tabs>
        <w:ind w:left="1983" w:hanging="1983"/>
        <w:jc w:val="both"/>
        <w:rPr>
          <w:rFonts w:cs="Arial"/>
          <w:noProof/>
        </w:rPr>
      </w:pPr>
      <w:r>
        <w:rPr>
          <w:rFonts w:cs="Arial"/>
          <w:noProof/>
        </w:rPr>
        <w:t>Generelt for refusionerne gælder det:</w:t>
      </w:r>
    </w:p>
    <w:p w:rsidR="008739D0" w:rsidRDefault="008739D0">
      <w:pPr>
        <w:tabs>
          <w:tab w:val="left" w:pos="850"/>
          <w:tab w:val="left" w:pos="1983"/>
        </w:tabs>
        <w:ind w:left="1983" w:hanging="1983"/>
        <w:jc w:val="both"/>
        <w:rPr>
          <w:rFonts w:cs="Arial"/>
          <w:noProof/>
        </w:rPr>
      </w:pPr>
    </w:p>
    <w:p w:rsidR="00AC6C99" w:rsidRDefault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  <w:noProof/>
        </w:rPr>
      </w:pPr>
      <w:r>
        <w:rPr>
          <w:rFonts w:cs="Arial"/>
          <w:noProof/>
        </w:rPr>
        <w:t xml:space="preserve">Konto </w:t>
      </w:r>
      <w:r w:rsidR="001975B0">
        <w:rPr>
          <w:rFonts w:cs="Arial"/>
          <w:noProof/>
        </w:rPr>
        <w:t>33-01</w:t>
      </w:r>
      <w:r>
        <w:rPr>
          <w:rFonts w:cs="Arial"/>
          <w:noProof/>
        </w:rPr>
        <w:t xml:space="preserve">          </w:t>
      </w:r>
      <w:r w:rsidR="00A5572D">
        <w:rPr>
          <w:rFonts w:cs="Arial"/>
          <w:noProof/>
        </w:rPr>
        <w:tab/>
      </w:r>
      <w:r w:rsidRPr="008E4896">
        <w:rPr>
          <w:rFonts w:cs="Arial"/>
          <w:noProof/>
        </w:rPr>
        <w:t>U</w:t>
      </w:r>
      <w:r>
        <w:rPr>
          <w:rFonts w:cs="Arial"/>
          <w:noProof/>
        </w:rPr>
        <w:t>ddannelsesstøtteforvaltningen</w:t>
      </w:r>
    </w:p>
    <w:p w:rsidR="00AC6C99" w:rsidRPr="008E4896" w:rsidRDefault="00AC6C99" w:rsidP="008E4896">
      <w:pPr>
        <w:tabs>
          <w:tab w:val="left" w:pos="850"/>
          <w:tab w:val="left" w:pos="1983"/>
        </w:tabs>
        <w:ind w:left="1983" w:hanging="1983"/>
        <w:rPr>
          <w:rFonts w:cs="Arial"/>
        </w:rPr>
      </w:pPr>
      <w:r w:rsidRPr="008E4896">
        <w:rPr>
          <w:rFonts w:cs="Arial"/>
          <w:noProof/>
        </w:rPr>
        <w:tab/>
      </w:r>
      <w:r w:rsidRPr="008E4896">
        <w:rPr>
          <w:rFonts w:cs="Arial"/>
          <w:noProof/>
        </w:rPr>
        <w:tab/>
        <w:t>(R</w:t>
      </w:r>
      <w:r>
        <w:rPr>
          <w:rFonts w:cs="Arial"/>
          <w:noProof/>
        </w:rPr>
        <w:t>ejseudgifter</w:t>
      </w:r>
      <w:r w:rsidRPr="008E4896">
        <w:rPr>
          <w:rFonts w:cs="Arial"/>
          <w:noProof/>
        </w:rPr>
        <w:t xml:space="preserve">, </w:t>
      </w:r>
      <w:r>
        <w:rPr>
          <w:rFonts w:cs="Arial"/>
          <w:noProof/>
        </w:rPr>
        <w:t xml:space="preserve">godstransport m.m. </w:t>
      </w:r>
      <w:r w:rsidRPr="008E4896">
        <w:rPr>
          <w:rFonts w:cs="Arial"/>
          <w:noProof/>
        </w:rPr>
        <w:t xml:space="preserve">I </w:t>
      </w:r>
      <w:r>
        <w:rPr>
          <w:rFonts w:cs="Arial"/>
          <w:noProof/>
        </w:rPr>
        <w:t>forbindelse med uddannelse</w:t>
      </w:r>
      <w:r w:rsidRPr="008E4896">
        <w:rPr>
          <w:rFonts w:cs="Arial"/>
          <w:noProof/>
        </w:rPr>
        <w:t xml:space="preserve">, </w:t>
      </w:r>
      <w:r>
        <w:rPr>
          <w:rFonts w:cs="Arial"/>
          <w:noProof/>
        </w:rPr>
        <w:t>huslejerefusion, svendeprøvebebyrer samt uddannelsesstøtte).</w:t>
      </w:r>
    </w:p>
    <w:p w:rsidR="00AC6C99" w:rsidRPr="008E4896" w:rsidRDefault="00AC6C99" w:rsidP="008E4896">
      <w:pPr>
        <w:tabs>
          <w:tab w:val="left" w:pos="850"/>
          <w:tab w:val="left" w:pos="1983"/>
        </w:tabs>
        <w:ind w:left="1983"/>
        <w:rPr>
          <w:rFonts w:cs="Arial"/>
        </w:rPr>
      </w:pPr>
      <w:r w:rsidRPr="008E4896">
        <w:rPr>
          <w:rFonts w:cs="Arial"/>
        </w:rPr>
        <w:t xml:space="preserve">I nærværende kontoafsnit bogføres alle udgifter vedr. rejse, ophold og godstransport i </w:t>
      </w:r>
      <w:proofErr w:type="spellStart"/>
      <w:r w:rsidRPr="008E4896">
        <w:rPr>
          <w:rFonts w:cs="Arial"/>
        </w:rPr>
        <w:t>f.m</w:t>
      </w:r>
      <w:proofErr w:type="spellEnd"/>
      <w:r w:rsidRPr="008E4896">
        <w:rPr>
          <w:rFonts w:cs="Arial"/>
        </w:rPr>
        <w:t>. uddannelse, refusion af husleje, svendeprøvegebyrer samt uddannelsesstøtte.</w:t>
      </w:r>
    </w:p>
    <w:p w:rsidR="00AC6C99" w:rsidRPr="008E4896" w:rsidRDefault="00AC6C99" w:rsidP="008E4896">
      <w:pPr>
        <w:tabs>
          <w:tab w:val="left" w:pos="850"/>
          <w:tab w:val="left" w:pos="1983"/>
        </w:tabs>
        <w:ind w:left="1983"/>
        <w:rPr>
          <w:rFonts w:cs="Arial"/>
        </w:rPr>
      </w:pPr>
      <w:r w:rsidRPr="008E4896">
        <w:rPr>
          <w:rFonts w:cs="Arial"/>
        </w:rPr>
        <w:t xml:space="preserve"> </w:t>
      </w:r>
    </w:p>
    <w:p w:rsidR="00AC6C99" w:rsidRPr="008E4896" w:rsidRDefault="00AC6C99" w:rsidP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</w:rPr>
      </w:pPr>
      <w:r w:rsidRPr="008E4896">
        <w:rPr>
          <w:rFonts w:cs="Arial"/>
          <w:bCs/>
          <w:u w:val="words"/>
        </w:rPr>
        <w:t>HJEMMEL</w:t>
      </w:r>
      <w:r w:rsidRPr="008E4896">
        <w:rPr>
          <w:rFonts w:cs="Arial"/>
        </w:rPr>
        <w:tab/>
        <w:t>Landstingsforordning nr. 4 af 14. november 2004 om Uddannelsesstøtte samt Grønlands Selvstyres Bekendtgørelse nr. 8 af 27. marts 2008 om Uddannelsesstøtte.</w:t>
      </w:r>
    </w:p>
    <w:p w:rsidR="00AC6C99" w:rsidRPr="008E4896" w:rsidRDefault="00AC6C99" w:rsidP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</w:rPr>
      </w:pPr>
    </w:p>
    <w:p w:rsidR="00AC6C99" w:rsidRPr="008E4896" w:rsidRDefault="00AC6C99" w:rsidP="008E4896">
      <w:pPr>
        <w:tabs>
          <w:tab w:val="left" w:pos="850"/>
          <w:tab w:val="left" w:pos="1983"/>
        </w:tabs>
        <w:ind w:left="1983" w:hanging="1983"/>
        <w:rPr>
          <w:rFonts w:cs="Arial"/>
        </w:rPr>
      </w:pPr>
      <w:r w:rsidRPr="008E4896">
        <w:rPr>
          <w:rFonts w:cs="Arial"/>
          <w:bCs/>
          <w:u w:val="single"/>
        </w:rPr>
        <w:t xml:space="preserve"> GENERELT</w:t>
      </w:r>
      <w:r w:rsidRPr="008E4896">
        <w:rPr>
          <w:rFonts w:cs="Arial"/>
        </w:rPr>
        <w:tab/>
        <w:t xml:space="preserve">Rejser, ophold og godstransport for lærlinge på de erhvervsmæssige grunduddannelser, hvor udgifter afholdes af kommunerne, refusion af husleje ved skoleophold i Grønland, svendeprøvegebyrer for lærlinge, der har praktik i Grønland og skoleophold i Danmark. Afholdelse af udgifter skal ske jfr. Uddannelsesstøtteforvaltningens Proceduremappe. En revideret Proceduremappe er udsendt til uddannelsesinstitutioner og vil fremgå på </w:t>
      </w:r>
      <w:hyperlink r:id="rId11" w:history="1">
        <w:r w:rsidRPr="008E4896">
          <w:rPr>
            <w:rStyle w:val="Hyperlink"/>
            <w:rFonts w:cs="Arial"/>
          </w:rPr>
          <w:t>www.usf.gl</w:t>
        </w:r>
      </w:hyperlink>
      <w:r w:rsidRPr="008E4896">
        <w:rPr>
          <w:rFonts w:cs="Arial"/>
        </w:rPr>
        <w:t>. Dokumentationskravene fremgår af Proceduremappen.</w:t>
      </w:r>
    </w:p>
    <w:p w:rsidR="00AC6C99" w:rsidRPr="008E4896" w:rsidRDefault="00AC6C99" w:rsidP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</w:rPr>
      </w:pPr>
    </w:p>
    <w:p w:rsidR="00AC6C99" w:rsidRPr="008E4896" w:rsidRDefault="00AC6C99" w:rsidP="00AC6C99">
      <w:pPr>
        <w:tabs>
          <w:tab w:val="left" w:pos="850"/>
          <w:tab w:val="left" w:pos="1983"/>
          <w:tab w:val="left" w:pos="2551"/>
          <w:tab w:val="left" w:pos="3344"/>
        </w:tabs>
        <w:ind w:left="1983" w:hanging="1983"/>
        <w:jc w:val="both"/>
        <w:rPr>
          <w:rFonts w:cs="Arial"/>
        </w:rPr>
      </w:pPr>
      <w:r w:rsidRPr="008E4896">
        <w:rPr>
          <w:rFonts w:cs="Arial"/>
          <w:bCs/>
          <w:u w:val="single"/>
        </w:rPr>
        <w:t>AFREGNING</w:t>
      </w:r>
      <w:r w:rsidRPr="008E4896">
        <w:rPr>
          <w:rFonts w:cs="Arial"/>
        </w:rPr>
        <w:tab/>
        <w:t>De udlagte beløb afregnes månedligt med Grønlands Selvstyre, (KIIIN) ved direkte bogføring i kommunebalancen (se nedenstående kontoopbygning).</w:t>
      </w:r>
    </w:p>
    <w:p w:rsidR="00AC6C99" w:rsidRPr="008E4896" w:rsidRDefault="00AC6C99" w:rsidP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</w:rPr>
      </w:pPr>
    </w:p>
    <w:p w:rsidR="00AC6C99" w:rsidRPr="008E4896" w:rsidRDefault="00AC6C99" w:rsidP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</w:rPr>
      </w:pPr>
      <w:r w:rsidRPr="008E4896">
        <w:rPr>
          <w:rFonts w:cs="Arial"/>
          <w:bCs/>
          <w:u w:val="single"/>
        </w:rPr>
        <w:t>BOGFØRING</w:t>
      </w:r>
      <w:r w:rsidRPr="008E4896">
        <w:rPr>
          <w:rFonts w:cs="Arial"/>
        </w:rPr>
        <w:tab/>
        <w:t>Alle udgifter/alle registreringer vedr. rejse, godstransport skal specificeres på cpr. nr. (registrant) og i enkeltposter, der må ikke registreres samlede beløb.</w:t>
      </w:r>
    </w:p>
    <w:p w:rsidR="00AC6C99" w:rsidRPr="008E4896" w:rsidRDefault="00AC6C99" w:rsidP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</w:rPr>
      </w:pPr>
    </w:p>
    <w:p w:rsidR="00AC6C99" w:rsidRPr="008E4896" w:rsidRDefault="00AC6C99" w:rsidP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</w:rPr>
      </w:pPr>
      <w:r w:rsidRPr="008E4896">
        <w:rPr>
          <w:rFonts w:cs="Arial"/>
        </w:rPr>
        <w:tab/>
      </w:r>
      <w:r w:rsidRPr="008E4896">
        <w:rPr>
          <w:rFonts w:cs="Arial"/>
        </w:rPr>
        <w:tab/>
        <w:t>Refusion af husleje ved regionalskoleophold samt uddannelsesstøtte skal bogføres månedsvis som totaler.</w:t>
      </w:r>
    </w:p>
    <w:p w:rsidR="00AC6C99" w:rsidRPr="008E4896" w:rsidRDefault="00AC6C99" w:rsidP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</w:rPr>
      </w:pPr>
    </w:p>
    <w:p w:rsidR="00AC6C99" w:rsidRPr="008E4896" w:rsidRDefault="00AC6C99" w:rsidP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</w:rPr>
      </w:pPr>
      <w:r w:rsidRPr="008E4896">
        <w:rPr>
          <w:rFonts w:cs="Arial"/>
        </w:rPr>
        <w:tab/>
      </w:r>
      <w:r w:rsidRPr="008E4896">
        <w:rPr>
          <w:rFonts w:cs="Arial"/>
        </w:rPr>
        <w:tab/>
        <w:t xml:space="preserve">Spørgsmål kan rettes til </w:t>
      </w:r>
      <w:hyperlink r:id="rId12" w:history="1">
        <w:r w:rsidRPr="008E4896">
          <w:rPr>
            <w:rStyle w:val="Hyperlink"/>
            <w:rFonts w:cs="Arial"/>
          </w:rPr>
          <w:t>usf@nanoq.gl</w:t>
        </w:r>
      </w:hyperlink>
      <w:r w:rsidRPr="008E4896">
        <w:rPr>
          <w:rFonts w:cs="Arial"/>
        </w:rPr>
        <w:t xml:space="preserve"> eller pr. fax 32 53 24.</w:t>
      </w:r>
    </w:p>
    <w:p w:rsidR="00AC6C99" w:rsidRPr="008E4896" w:rsidRDefault="00AC6C99" w:rsidP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</w:rPr>
      </w:pPr>
    </w:p>
    <w:p w:rsidR="00AC6C99" w:rsidRPr="008E4896" w:rsidRDefault="00AC6C99" w:rsidP="00AC6C99">
      <w:pPr>
        <w:tabs>
          <w:tab w:val="left" w:pos="850"/>
          <w:tab w:val="left" w:pos="1983"/>
        </w:tabs>
        <w:ind w:left="1983" w:hanging="1983"/>
        <w:jc w:val="both"/>
        <w:rPr>
          <w:rFonts w:cs="Arial"/>
        </w:rPr>
      </w:pPr>
      <w:r w:rsidRPr="008E4896">
        <w:rPr>
          <w:rFonts w:cs="Arial"/>
        </w:rPr>
        <w:tab/>
      </w:r>
      <w:r w:rsidRPr="008E4896">
        <w:rPr>
          <w:rFonts w:cs="Arial"/>
        </w:rPr>
        <w:tab/>
        <w:t>Der medsendes ingen bilag, idet eventuel revision foregår i kommunen.</w:t>
      </w:r>
    </w:p>
    <w:p w:rsidR="00AC6C99" w:rsidRPr="008E4896" w:rsidRDefault="00AC6C99" w:rsidP="00AC6C99">
      <w:pPr>
        <w:tabs>
          <w:tab w:val="left" w:pos="850"/>
          <w:tab w:val="left" w:pos="1983"/>
          <w:tab w:val="left" w:pos="2551"/>
          <w:tab w:val="left" w:pos="3344"/>
        </w:tabs>
        <w:jc w:val="both"/>
        <w:rPr>
          <w:rFonts w:cs="Arial"/>
        </w:rPr>
      </w:pPr>
    </w:p>
    <w:p w:rsidR="00AC6C99" w:rsidRPr="005A495F" w:rsidRDefault="00AC6C99" w:rsidP="008E4896">
      <w:pPr>
        <w:pStyle w:val="Overskrift4"/>
        <w:tabs>
          <w:tab w:val="left" w:pos="1985"/>
        </w:tabs>
        <w:rPr>
          <w:rFonts w:cs="Arial"/>
        </w:rPr>
      </w:pPr>
      <w:r w:rsidRPr="008E4896">
        <w:rPr>
          <w:rFonts w:ascii="Arial" w:hAnsi="Arial" w:cs="Arial"/>
          <w:b w:val="0"/>
          <w:i w:val="0"/>
          <w:color w:val="auto"/>
        </w:rPr>
        <w:t>REVISION</w:t>
      </w:r>
      <w:r w:rsidRPr="008E4896">
        <w:rPr>
          <w:rFonts w:ascii="Arial" w:hAnsi="Arial" w:cs="Arial"/>
          <w:b w:val="0"/>
          <w:i w:val="0"/>
          <w:color w:val="auto"/>
        </w:rPr>
        <w:tab/>
      </w:r>
      <w:r w:rsidR="00A5572D">
        <w:rPr>
          <w:rFonts w:ascii="Arial" w:hAnsi="Arial" w:cs="Arial"/>
          <w:b w:val="0"/>
          <w:i w:val="0"/>
          <w:color w:val="auto"/>
        </w:rPr>
        <w:t xml:space="preserve"> </w:t>
      </w:r>
      <w:r w:rsidRPr="008E4896">
        <w:rPr>
          <w:rFonts w:ascii="Arial" w:hAnsi="Arial" w:cs="Arial"/>
          <w:b w:val="0"/>
          <w:bCs w:val="0"/>
          <w:i w:val="0"/>
          <w:color w:val="auto"/>
        </w:rPr>
        <w:t>Dokumentation rekvireres på initiativ af USF/KIIN.</w:t>
      </w:r>
      <w:r w:rsidRPr="008E4896">
        <w:rPr>
          <w:rFonts w:ascii="Arial" w:hAnsi="Arial" w:cs="Arial"/>
          <w:b w:val="0"/>
        </w:rPr>
        <w:br w:type="page"/>
      </w:r>
    </w:p>
    <w:p w:rsidR="00FB17A8" w:rsidRDefault="001F49BA" w:rsidP="008739D0">
      <w:pPr>
        <w:rPr>
          <w:rFonts w:cs="Arial"/>
        </w:rPr>
      </w:pPr>
      <w:r>
        <w:lastRenderedPageBreak/>
        <w:t>Kommunernes hovedkonti, der berører punkttilskud</w:t>
      </w:r>
      <w:r w:rsidR="00F07FCE">
        <w:t>,</w:t>
      </w:r>
      <w:r>
        <w:t xml:space="preserve"> der vedrører Departementet for Uddannelse, Kultur, Forskning og Kirke</w:t>
      </w:r>
      <w:r w:rsidR="00B51D72">
        <w:t xml:space="preserve"> </w:t>
      </w:r>
      <w:r w:rsidR="000251DD" w:rsidRPr="008E4896">
        <w:rPr>
          <w:rFonts w:cs="Arial"/>
        </w:rPr>
        <w:t>Alle kommuner, hvor Den Lokale Erhvervsskole afvikler regionalskoleophold for lærlinge på de erhvervsmæssige grunduddannelser fra andre kommuner refunderes efter aftale med KIIN en del af huslejeudgifterne.</w:t>
      </w:r>
      <w:r w:rsidR="00FB17A8" w:rsidRPr="00FB17A8">
        <w:rPr>
          <w:rFonts w:cs="Arial"/>
        </w:rPr>
        <w:t xml:space="preserve"> Bogføres uden registrant.</w:t>
      </w:r>
    </w:p>
    <w:p w:rsidR="008739D0" w:rsidRDefault="008739D0" w:rsidP="008739D0">
      <w:pPr>
        <w:tabs>
          <w:tab w:val="left" w:pos="851"/>
          <w:tab w:val="left" w:pos="1983"/>
          <w:tab w:val="left" w:pos="2551"/>
          <w:tab w:val="left" w:pos="3344"/>
          <w:tab w:val="right" w:pos="9069"/>
        </w:tabs>
        <w:outlineLvl w:val="0"/>
        <w:rPr>
          <w:rFonts w:cs="Arial"/>
        </w:rPr>
      </w:pPr>
    </w:p>
    <w:p w:rsidR="00FB17A8" w:rsidRPr="008739D0" w:rsidRDefault="00E65DEE" w:rsidP="008739D0">
      <w:pPr>
        <w:tabs>
          <w:tab w:val="left" w:pos="851"/>
          <w:tab w:val="left" w:pos="1983"/>
          <w:tab w:val="left" w:pos="2551"/>
          <w:tab w:val="left" w:pos="3344"/>
          <w:tab w:val="right" w:pos="9069"/>
        </w:tabs>
        <w:outlineLvl w:val="0"/>
        <w:rPr>
          <w:rFonts w:cs="Arial"/>
        </w:rPr>
      </w:pPr>
      <w:r w:rsidRPr="008739D0">
        <w:rPr>
          <w:rFonts w:cs="Arial"/>
        </w:rPr>
        <w:t>End</w:t>
      </w:r>
      <w:r w:rsidR="001975B0" w:rsidRPr="008739D0">
        <w:rPr>
          <w:rFonts w:cs="Arial"/>
        </w:rPr>
        <w:t xml:space="preserve">videre: </w:t>
      </w:r>
      <w:r w:rsidR="000251DD" w:rsidRPr="008739D0">
        <w:rPr>
          <w:rFonts w:cs="Arial"/>
          <w:bCs/>
        </w:rPr>
        <w:t>Refusion af overvægt</w:t>
      </w:r>
      <w:r w:rsidR="000251DD" w:rsidRPr="008739D0">
        <w:rPr>
          <w:rFonts w:cs="Arial"/>
          <w:bCs/>
        </w:rPr>
        <w:fldChar w:fldCharType="begin"/>
      </w:r>
      <w:r w:rsidR="000251DD" w:rsidRPr="008739D0">
        <w:rPr>
          <w:rFonts w:cs="Arial"/>
          <w:bCs/>
        </w:rPr>
        <w:instrText>TC \l3 "</w:instrText>
      </w:r>
      <w:bookmarkStart w:id="1" w:name="_Toc227488009"/>
      <w:bookmarkStart w:id="2" w:name="_Toc341868517"/>
      <w:r w:rsidR="000251DD" w:rsidRPr="008739D0">
        <w:rPr>
          <w:rFonts w:cs="Arial"/>
          <w:bCs/>
        </w:rPr>
        <w:instrText>06.40.13.05.80</w:instrText>
      </w:r>
      <w:r w:rsidR="000251DD" w:rsidRPr="008739D0">
        <w:rPr>
          <w:rFonts w:cs="Arial"/>
          <w:bCs/>
        </w:rPr>
        <w:tab/>
        <w:instrText>Refusion af overvægt</w:instrText>
      </w:r>
      <w:bookmarkEnd w:id="1"/>
      <w:bookmarkEnd w:id="2"/>
      <w:r w:rsidR="000251DD" w:rsidRPr="008739D0">
        <w:rPr>
          <w:rFonts w:cs="Arial"/>
          <w:bCs/>
        </w:rPr>
        <w:fldChar w:fldCharType="end"/>
      </w:r>
      <w:r w:rsidR="001975B0" w:rsidRPr="008739D0">
        <w:rPr>
          <w:rFonts w:cs="Arial"/>
          <w:bCs/>
        </w:rPr>
        <w:t>. Nå</w:t>
      </w:r>
      <w:r w:rsidR="000251DD" w:rsidRPr="008739D0">
        <w:rPr>
          <w:rFonts w:cs="Arial"/>
        </w:rPr>
        <w:t xml:space="preserve">r der ikke bevilges godstransport, kan der pr. </w:t>
      </w:r>
      <w:proofErr w:type="gramStart"/>
      <w:r w:rsidR="000251DD" w:rsidRPr="008739D0">
        <w:rPr>
          <w:rFonts w:cs="Arial"/>
        </w:rPr>
        <w:t>bevilget</w:t>
      </w:r>
      <w:proofErr w:type="gramEnd"/>
      <w:r w:rsidR="000251DD" w:rsidRPr="008739D0">
        <w:rPr>
          <w:rFonts w:cs="Arial"/>
        </w:rPr>
        <w:t xml:space="preserve"> frirejse, mod behørig dokumentation, ydes dækning af udgifterne op til </w:t>
      </w:r>
      <w:smartTag w:uri="urn:schemas-microsoft-com:office:smarttags" w:element="metricconverter">
        <w:smartTagPr>
          <w:attr w:name="ProductID" w:val="10 kg"/>
        </w:smartTagPr>
        <w:r w:rsidR="000251DD" w:rsidRPr="008739D0">
          <w:rPr>
            <w:rFonts w:cs="Arial"/>
          </w:rPr>
          <w:t>10 kg</w:t>
        </w:r>
      </w:smartTag>
      <w:r w:rsidR="000251DD" w:rsidRPr="008739D0">
        <w:rPr>
          <w:rFonts w:cs="Arial"/>
        </w:rPr>
        <w:t xml:space="preserve"> luftfragtsovervægt. Når der er bevilliget godstransport, men skibstransport ikke er muligt, kan der bevilliges op til </w:t>
      </w:r>
      <w:smartTag w:uri="urn:schemas-microsoft-com:office:smarttags" w:element="metricconverter">
        <w:smartTagPr>
          <w:attr w:name="ProductID" w:val="10 kg"/>
        </w:smartTagPr>
        <w:r w:rsidR="000251DD" w:rsidRPr="008739D0">
          <w:rPr>
            <w:rFonts w:cs="Arial"/>
          </w:rPr>
          <w:t>10 kg</w:t>
        </w:r>
      </w:smartTag>
      <w:r w:rsidR="000251DD" w:rsidRPr="008739D0">
        <w:rPr>
          <w:rFonts w:cs="Arial"/>
        </w:rPr>
        <w:t xml:space="preserve"> overvægt.</w:t>
      </w:r>
    </w:p>
    <w:p w:rsidR="008739D0" w:rsidRDefault="008739D0" w:rsidP="008739D0">
      <w:pPr>
        <w:tabs>
          <w:tab w:val="left" w:pos="850"/>
          <w:tab w:val="left" w:pos="1134"/>
          <w:tab w:val="left" w:pos="2551"/>
          <w:tab w:val="left" w:pos="3344"/>
          <w:tab w:val="right" w:pos="9069"/>
        </w:tabs>
        <w:outlineLvl w:val="0"/>
        <w:rPr>
          <w:rFonts w:cs="Arial"/>
        </w:rPr>
      </w:pPr>
    </w:p>
    <w:p w:rsidR="000251DD" w:rsidRPr="008739D0" w:rsidRDefault="000251DD" w:rsidP="008739D0">
      <w:pPr>
        <w:tabs>
          <w:tab w:val="left" w:pos="850"/>
          <w:tab w:val="left" w:pos="1134"/>
          <w:tab w:val="left" w:pos="2551"/>
          <w:tab w:val="left" w:pos="3344"/>
          <w:tab w:val="right" w:pos="9069"/>
        </w:tabs>
        <w:outlineLvl w:val="0"/>
        <w:rPr>
          <w:rFonts w:cs="Arial"/>
        </w:rPr>
      </w:pPr>
      <w:r w:rsidRPr="008739D0">
        <w:rPr>
          <w:rFonts w:cs="Arial"/>
        </w:rPr>
        <w:t xml:space="preserve">Værdi af </w:t>
      </w:r>
      <w:smartTag w:uri="urn:schemas-microsoft-com:office:smarttags" w:element="metricconverter">
        <w:smartTagPr>
          <w:attr w:name="ProductID" w:val="10 kg"/>
        </w:smartTagPr>
        <w:r w:rsidRPr="008739D0">
          <w:rPr>
            <w:rFonts w:cs="Arial"/>
          </w:rPr>
          <w:t>10 kg</w:t>
        </w:r>
      </w:smartTag>
      <w:r w:rsidRPr="008739D0">
        <w:rPr>
          <w:rFonts w:cs="Arial"/>
        </w:rPr>
        <w:t xml:space="preserve"> luftfragtsovervægt kan ikke bevilges på forskud. De uddannelsessøgende skal selv i første omgang afholde udgiften.</w:t>
      </w:r>
      <w:r w:rsidR="001975B0" w:rsidRPr="008739D0">
        <w:rPr>
          <w:rFonts w:cs="Arial"/>
        </w:rPr>
        <w:t xml:space="preserve"> </w:t>
      </w:r>
      <w:r w:rsidRPr="008739D0">
        <w:rPr>
          <w:rFonts w:cs="Arial"/>
        </w:rPr>
        <w:t xml:space="preserve">Kommunen refunderer beløbet på baggrund af kvittering og ansøgningsskema fra </w:t>
      </w:r>
      <w:r w:rsidR="001975B0" w:rsidRPr="008739D0">
        <w:rPr>
          <w:rFonts w:cs="Arial"/>
        </w:rPr>
        <w:t>e</w:t>
      </w:r>
      <w:r w:rsidRPr="008739D0">
        <w:rPr>
          <w:rFonts w:cs="Arial"/>
        </w:rPr>
        <w:t>leven.</w:t>
      </w:r>
      <w:r w:rsidR="001975B0" w:rsidRPr="008739D0">
        <w:rPr>
          <w:rFonts w:cs="Arial"/>
        </w:rPr>
        <w:t xml:space="preserve"> </w:t>
      </w:r>
      <w:r w:rsidRPr="008739D0">
        <w:rPr>
          <w:rFonts w:cs="Arial"/>
        </w:rPr>
        <w:t>Der ydes ikke luftfragtsovervægt ved ferie frirejser.</w:t>
      </w:r>
    </w:p>
    <w:p w:rsidR="000251DD" w:rsidRPr="00E65DEE" w:rsidRDefault="000251DD" w:rsidP="008E4896">
      <w:pPr>
        <w:pStyle w:val="Listeafsnit"/>
      </w:pPr>
    </w:p>
    <w:p w:rsidR="00B51D72" w:rsidRDefault="00FD0D84" w:rsidP="008E4896">
      <w:pPr>
        <w:tabs>
          <w:tab w:val="left" w:pos="284"/>
          <w:tab w:val="left" w:pos="850"/>
        </w:tabs>
        <w:jc w:val="both"/>
        <w:rPr>
          <w:rFonts w:cs="Arial"/>
        </w:rPr>
      </w:pPr>
      <w:r w:rsidRPr="00E65DEE">
        <w:t>For konto 33-</w:t>
      </w:r>
      <w:r w:rsidR="00B51D72" w:rsidRPr="00E65DEE">
        <w:t xml:space="preserve">01-00-05-00 Opholdsudgifter vedr. rejser gælder det at, udgifterne er nødvendige opholdsudgifter under rejse internt i Grønland </w:t>
      </w:r>
      <w:r w:rsidR="00B51D72" w:rsidRPr="008E4896">
        <w:rPr>
          <w:rFonts w:cs="Arial"/>
        </w:rPr>
        <w:t>eller mellem Grønland og Danmark i forbindelse med uddannelse. Nødvendige opholdsudgifter (herunder kostbilletter) er i dette tilfælde kun udgifter i forbindelse med transitophold. Taxaudgifter m.v. i forbindelse med rejse internt i Grønland kan ikke refunderes.</w:t>
      </w:r>
    </w:p>
    <w:p w:rsidR="00FB17A8" w:rsidRDefault="00FB17A8" w:rsidP="008E4896">
      <w:pPr>
        <w:tabs>
          <w:tab w:val="left" w:pos="284"/>
          <w:tab w:val="left" w:pos="850"/>
        </w:tabs>
        <w:jc w:val="both"/>
        <w:rPr>
          <w:rFonts w:cs="Arial"/>
        </w:rPr>
      </w:pPr>
    </w:p>
    <w:p w:rsidR="00A5572D" w:rsidRDefault="00A5572D" w:rsidP="001F49BA">
      <w:pPr>
        <w:rPr>
          <w:b/>
          <w:sz w:val="24"/>
          <w:szCs w:val="24"/>
        </w:rPr>
      </w:pPr>
    </w:p>
    <w:p w:rsidR="001F49BA" w:rsidRPr="008E4896" w:rsidRDefault="00F07FCE" w:rsidP="001F49BA">
      <w:pPr>
        <w:rPr>
          <w:b/>
          <w:sz w:val="24"/>
          <w:szCs w:val="24"/>
        </w:rPr>
      </w:pPr>
      <w:r w:rsidRPr="008E4896">
        <w:rPr>
          <w:b/>
          <w:sz w:val="24"/>
          <w:szCs w:val="24"/>
        </w:rPr>
        <w:t>Departementet for Sociale Anliggender, Familie, Ligestilling og Justitsvæsens (</w:t>
      </w:r>
      <w:proofErr w:type="spellStart"/>
      <w:r w:rsidR="001F49BA" w:rsidRPr="008E4896">
        <w:rPr>
          <w:b/>
          <w:sz w:val="24"/>
          <w:szCs w:val="24"/>
        </w:rPr>
        <w:t>IN</w:t>
      </w:r>
      <w:r w:rsidR="008634DF">
        <w:rPr>
          <w:b/>
          <w:sz w:val="24"/>
          <w:szCs w:val="24"/>
        </w:rPr>
        <w:t>IIAN</w:t>
      </w:r>
      <w:r w:rsidR="001F49BA" w:rsidRPr="008E4896">
        <w:rPr>
          <w:b/>
          <w:sz w:val="24"/>
          <w:szCs w:val="24"/>
        </w:rPr>
        <w:t>´s</w:t>
      </w:r>
      <w:proofErr w:type="spellEnd"/>
      <w:r w:rsidRPr="008E4896">
        <w:rPr>
          <w:b/>
          <w:sz w:val="24"/>
          <w:szCs w:val="24"/>
        </w:rPr>
        <w:t>)</w:t>
      </w:r>
      <w:r w:rsidR="001F49BA" w:rsidRPr="008E4896">
        <w:rPr>
          <w:b/>
          <w:sz w:val="24"/>
          <w:szCs w:val="24"/>
        </w:rPr>
        <w:t xml:space="preserve"> område</w:t>
      </w:r>
    </w:p>
    <w:p w:rsidR="001F49BA" w:rsidRDefault="001F49BA" w:rsidP="001F49BA">
      <w:r>
        <w:t>Regninger/fakturaer der vedrører punkttilskud, der er på Departementet for Sociale Anliggender</w:t>
      </w:r>
      <w:r w:rsidR="00F07FCE">
        <w:t>, Familie, Ligestilling</w:t>
      </w:r>
      <w:r>
        <w:t xml:space="preserve"> og Justitsvæsens (</w:t>
      </w:r>
      <w:proofErr w:type="spellStart"/>
      <w:r>
        <w:t>I</w:t>
      </w:r>
      <w:r w:rsidR="005B1811">
        <w:t>NIIAN</w:t>
      </w:r>
      <w:r>
        <w:t>´s</w:t>
      </w:r>
      <w:proofErr w:type="spellEnd"/>
      <w:r>
        <w:t xml:space="preserve">) område, Selvstyrets hovedkonti ”30.10.32 Børnetilskud”; ”30.10.34 ”Underholdsbidrag og adoption samt bisidderbistand”; </w:t>
      </w:r>
      <w:r w:rsidR="008634DF">
        <w:t xml:space="preserve">”30.10.36 </w:t>
      </w:r>
      <w:proofErr w:type="spellStart"/>
      <w:r w:rsidR="008634DF">
        <w:t>Barselsdagpenge</w:t>
      </w:r>
      <w:proofErr w:type="spellEnd"/>
      <w:r w:rsidR="008634DF">
        <w:t xml:space="preserve">”; </w:t>
      </w:r>
      <w:r>
        <w:t xml:space="preserve">”30.11.10 Boligsikring”; ”30.12.08 Offentlig pension til alderspensionister” samt ”30.12.09 Førtidspension” skal sendes til Departementet med GLN nummer </w:t>
      </w:r>
      <w:r w:rsidRPr="008E4896">
        <w:rPr>
          <w:b/>
          <w:u w:val="single"/>
        </w:rPr>
        <w:t>5790001952723.</w:t>
      </w:r>
    </w:p>
    <w:p w:rsidR="001F49BA" w:rsidRDefault="001F49BA" w:rsidP="001F49BA">
      <w:pPr>
        <w:pBdr>
          <w:bottom w:val="single" w:sz="12" w:space="1" w:color="auto"/>
        </w:pBdr>
      </w:pPr>
    </w:p>
    <w:p w:rsidR="00A5572D" w:rsidRDefault="00A5572D" w:rsidP="001F49BA"/>
    <w:p w:rsidR="008634DF" w:rsidRDefault="008634DF" w:rsidP="008634DF">
      <w:pPr>
        <w:tabs>
          <w:tab w:val="left" w:pos="850"/>
          <w:tab w:val="left" w:pos="1983"/>
        </w:tabs>
        <w:ind w:left="1983" w:hanging="1983"/>
        <w:jc w:val="both"/>
        <w:rPr>
          <w:rFonts w:cs="Arial"/>
          <w:noProof/>
        </w:rPr>
      </w:pPr>
      <w:r>
        <w:rPr>
          <w:rFonts w:cs="Arial"/>
          <w:noProof/>
        </w:rPr>
        <w:t xml:space="preserve">Kommunerne bogfører refusioner på INIIAN´s område på de kommunale konti, der er vedlagt som bilag til </w:t>
      </w:r>
    </w:p>
    <w:p w:rsidR="008634DF" w:rsidRDefault="008634DF" w:rsidP="008634DF">
      <w:pPr>
        <w:tabs>
          <w:tab w:val="left" w:pos="850"/>
          <w:tab w:val="left" w:pos="1983"/>
        </w:tabs>
        <w:ind w:left="1983" w:hanging="1983"/>
        <w:jc w:val="both"/>
        <w:rPr>
          <w:rFonts w:cs="Arial"/>
          <w:noProof/>
        </w:rPr>
      </w:pPr>
      <w:r>
        <w:rPr>
          <w:rFonts w:cs="Arial"/>
          <w:noProof/>
        </w:rPr>
        <w:t>denne vejledning.</w:t>
      </w:r>
    </w:p>
    <w:p w:rsidR="004B54ED" w:rsidRDefault="004B54ED" w:rsidP="001F49BA"/>
    <w:p w:rsidR="00FD0D84" w:rsidRPr="00FD0D84" w:rsidRDefault="00A61B14" w:rsidP="00B7505B">
      <w:r>
        <w:t>For konto 46-04-00-</w:t>
      </w:r>
      <w:r w:rsidR="003B49CB">
        <w:t>82</w:t>
      </w:r>
      <w:r>
        <w:t>-00 Børnetils</w:t>
      </w:r>
      <w:r w:rsidR="00B51D72">
        <w:t>kud</w:t>
      </w:r>
      <w:r w:rsidR="003B49CB">
        <w:t>: Refusion fra Selvstyret</w:t>
      </w:r>
      <w:r w:rsidR="00B51D72">
        <w:t xml:space="preserve"> samt konto 46-05-00-82-00 </w:t>
      </w:r>
      <w:r w:rsidR="003B49CB">
        <w:t xml:space="preserve">Underholdsbidrag: </w:t>
      </w:r>
      <w:proofErr w:type="gramStart"/>
      <w:r w:rsidR="003B49CB">
        <w:t xml:space="preserve">Refusion </w:t>
      </w:r>
      <w:r w:rsidR="00B51D72">
        <w:t xml:space="preserve"> fra</w:t>
      </w:r>
      <w:proofErr w:type="gramEnd"/>
      <w:r w:rsidR="00B51D72">
        <w:t xml:space="preserve"> Selvstyret, </w:t>
      </w:r>
      <w:r>
        <w:t>gælder det at:</w:t>
      </w:r>
      <w:r w:rsidR="008634DF">
        <w:t xml:space="preserve"> Der p</w:t>
      </w:r>
      <w:r>
        <w:t xml:space="preserve">å kontoen bogføres børnetilskud som dækkes 100% af Grønlands Selvstyre.  Kommunen skal ved udbetaling bogføre på </w:t>
      </w:r>
      <w:r w:rsidR="00EC75BB">
        <w:t>46-XX-XX-30-00, der er person-opdelt.</w:t>
      </w:r>
    </w:p>
    <w:p w:rsidR="008634DF" w:rsidRDefault="008634DF" w:rsidP="008634DF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  <w:r>
        <w:rPr>
          <w:rFonts w:cs="Arial"/>
        </w:rPr>
        <w:t>For konto 46-03-XX-</w:t>
      </w:r>
      <w:r w:rsidR="00EC75BB">
        <w:rPr>
          <w:rFonts w:cs="Arial"/>
        </w:rPr>
        <w:t>82</w:t>
      </w:r>
      <w:r>
        <w:rPr>
          <w:rFonts w:cs="Arial"/>
        </w:rPr>
        <w:t xml:space="preserve">-XX </w:t>
      </w:r>
      <w:r w:rsidR="00540949" w:rsidRPr="008E4896">
        <w:rPr>
          <w:rFonts w:cs="Arial"/>
          <w:bCs/>
        </w:rPr>
        <w:t>Boligsikring</w:t>
      </w:r>
      <w:r w:rsidR="00540949" w:rsidRPr="008E4896">
        <w:rPr>
          <w:rFonts w:cs="Arial"/>
          <w:bCs/>
        </w:rPr>
        <w:fldChar w:fldCharType="begin"/>
      </w:r>
      <w:r w:rsidR="00540949" w:rsidRPr="008E4896">
        <w:rPr>
          <w:rFonts w:cs="Arial"/>
          <w:bCs/>
        </w:rPr>
        <w:instrText>TC \l3 "</w:instrText>
      </w:r>
      <w:bookmarkStart w:id="3" w:name="_Toc227488020"/>
      <w:bookmarkStart w:id="4" w:name="_Toc341868528"/>
      <w:r w:rsidR="00540949" w:rsidRPr="008E4896">
        <w:rPr>
          <w:rFonts w:cs="Arial"/>
          <w:bCs/>
        </w:rPr>
        <w:instrText>06.41.04.26.00</w:instrText>
      </w:r>
      <w:r w:rsidR="00540949" w:rsidRPr="008E4896">
        <w:rPr>
          <w:rFonts w:cs="Arial"/>
          <w:bCs/>
        </w:rPr>
        <w:tab/>
        <w:instrText>Boligsikring</w:instrText>
      </w:r>
      <w:bookmarkEnd w:id="3"/>
      <w:bookmarkEnd w:id="4"/>
      <w:r w:rsidR="00540949" w:rsidRPr="008E4896">
        <w:rPr>
          <w:rFonts w:cs="Arial"/>
          <w:bCs/>
        </w:rPr>
        <w:fldChar w:fldCharType="end"/>
      </w:r>
      <w:r>
        <w:rPr>
          <w:rFonts w:cs="Arial"/>
          <w:bCs/>
        </w:rPr>
        <w:t xml:space="preserve"> gælder det, at </w:t>
      </w:r>
      <w:r w:rsidR="00540949" w:rsidRPr="008E4896">
        <w:rPr>
          <w:rFonts w:cs="Arial"/>
        </w:rPr>
        <w:t xml:space="preserve">Kontoen anvendes til bogføring af boligsikring. </w:t>
      </w:r>
    </w:p>
    <w:p w:rsidR="00540949" w:rsidRDefault="00540949" w:rsidP="008634DF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  <w:r w:rsidRPr="008E4896">
        <w:rPr>
          <w:rFonts w:cs="Arial"/>
        </w:rPr>
        <w:t>Kommunerne skal månedsvis trække 60% af afholdt forbrug.</w:t>
      </w:r>
    </w:p>
    <w:p w:rsidR="008634DF" w:rsidRDefault="008634DF" w:rsidP="008634DF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</w:p>
    <w:p w:rsidR="00A631B9" w:rsidRDefault="008634DF" w:rsidP="008634DF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  <w:r>
        <w:rPr>
          <w:rFonts w:cs="Arial"/>
        </w:rPr>
        <w:t>For konto 43-03-XX-</w:t>
      </w:r>
      <w:r w:rsidR="00EC75BB">
        <w:rPr>
          <w:rFonts w:cs="Arial"/>
        </w:rPr>
        <w:t>82</w:t>
      </w:r>
      <w:r>
        <w:rPr>
          <w:rFonts w:cs="Arial"/>
        </w:rPr>
        <w:t xml:space="preserve">-01 </w:t>
      </w:r>
      <w:proofErr w:type="gramStart"/>
      <w:r w:rsidR="00540949" w:rsidRPr="008E4896">
        <w:rPr>
          <w:rFonts w:cs="Arial"/>
          <w:bCs/>
        </w:rPr>
        <w:t>Førtidspension</w:t>
      </w:r>
      <w:r w:rsidR="00A631B9">
        <w:rPr>
          <w:rFonts w:cs="Arial"/>
          <w:bCs/>
        </w:rPr>
        <w:t xml:space="preserve"> </w:t>
      </w:r>
      <w:r w:rsidR="00540949" w:rsidRPr="008E4896">
        <w:rPr>
          <w:rFonts w:cs="Arial"/>
          <w:bCs/>
        </w:rPr>
        <w:t xml:space="preserve"> </w:t>
      </w:r>
      <w:r w:rsidR="00540949" w:rsidRPr="008E4896">
        <w:rPr>
          <w:rFonts w:cs="Arial"/>
          <w:bCs/>
        </w:rPr>
        <w:fldChar w:fldCharType="begin"/>
      </w:r>
      <w:proofErr w:type="gramEnd"/>
      <w:r w:rsidR="00540949" w:rsidRPr="008E4896">
        <w:rPr>
          <w:rFonts w:cs="Arial"/>
          <w:bCs/>
        </w:rPr>
        <w:instrText>TC \l3 "</w:instrText>
      </w:r>
      <w:bookmarkStart w:id="5" w:name="_Toc227488021"/>
      <w:bookmarkStart w:id="6" w:name="_Toc341868529"/>
      <w:r w:rsidR="00540949" w:rsidRPr="008E4896">
        <w:rPr>
          <w:rFonts w:cs="Arial"/>
          <w:bCs/>
        </w:rPr>
        <w:instrText>06.43.01.xx.xx</w:instrText>
      </w:r>
      <w:r w:rsidR="00540949" w:rsidRPr="008E4896">
        <w:rPr>
          <w:rFonts w:cs="Arial"/>
          <w:bCs/>
        </w:rPr>
        <w:tab/>
        <w:instrText>Førtidspension 50 %</w:instrText>
      </w:r>
      <w:bookmarkEnd w:id="5"/>
      <w:bookmarkEnd w:id="6"/>
      <w:r w:rsidR="00540949" w:rsidRPr="008E4896">
        <w:rPr>
          <w:rFonts w:cs="Arial"/>
          <w:bCs/>
        </w:rPr>
        <w:fldChar w:fldCharType="end"/>
      </w:r>
      <w:r>
        <w:rPr>
          <w:rFonts w:cs="Arial"/>
          <w:bCs/>
        </w:rPr>
        <w:t xml:space="preserve">gælder det, at </w:t>
      </w:r>
      <w:r w:rsidR="00A631B9">
        <w:rPr>
          <w:rFonts w:cs="Arial"/>
          <w:bCs/>
        </w:rPr>
        <w:t>k</w:t>
      </w:r>
      <w:r w:rsidR="00540949" w:rsidRPr="008E4896">
        <w:rPr>
          <w:rFonts w:cs="Arial"/>
        </w:rPr>
        <w:t xml:space="preserve">ontoen anvendes til bogføring af </w:t>
      </w:r>
    </w:p>
    <w:p w:rsidR="008634DF" w:rsidRDefault="00540949" w:rsidP="008634DF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  <w:r w:rsidRPr="008E4896">
        <w:rPr>
          <w:rFonts w:cs="Arial"/>
        </w:rPr>
        <w:t>hjemtaget førtidspension. Kom</w:t>
      </w:r>
      <w:r w:rsidR="00A631B9">
        <w:rPr>
          <w:rFonts w:cs="Arial"/>
        </w:rPr>
        <w:t xml:space="preserve">munerne kan månedsvis hjemtage </w:t>
      </w:r>
      <w:proofErr w:type="gramStart"/>
      <w:r w:rsidR="003B49CB">
        <w:rPr>
          <w:rFonts w:cs="Arial"/>
        </w:rPr>
        <w:t>5</w:t>
      </w:r>
      <w:r w:rsidRPr="008E4896">
        <w:rPr>
          <w:rFonts w:cs="Arial"/>
        </w:rPr>
        <w:t>0%</w:t>
      </w:r>
      <w:proofErr w:type="gramEnd"/>
      <w:r w:rsidRPr="008E4896">
        <w:rPr>
          <w:rFonts w:cs="Arial"/>
        </w:rPr>
        <w:t xml:space="preserve"> af afholdt forbrug. </w:t>
      </w:r>
    </w:p>
    <w:p w:rsidR="00540949" w:rsidRDefault="00540949" w:rsidP="00A631B9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</w:p>
    <w:p w:rsidR="005B1811" w:rsidRDefault="00A631B9" w:rsidP="00A631B9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  <w:r>
        <w:rPr>
          <w:rFonts w:cs="Arial"/>
        </w:rPr>
        <w:t xml:space="preserve">For konto </w:t>
      </w:r>
      <w:r w:rsidR="005B1811">
        <w:rPr>
          <w:rFonts w:cs="Arial"/>
        </w:rPr>
        <w:t>43-03-XX</w:t>
      </w:r>
      <w:r>
        <w:rPr>
          <w:rFonts w:cs="Arial"/>
        </w:rPr>
        <w:t>-</w:t>
      </w:r>
      <w:r w:rsidR="00EC75BB">
        <w:rPr>
          <w:rFonts w:cs="Arial"/>
        </w:rPr>
        <w:t>82</w:t>
      </w:r>
      <w:r>
        <w:rPr>
          <w:rFonts w:cs="Arial"/>
        </w:rPr>
        <w:t xml:space="preserve">-02 Reduceret </w:t>
      </w:r>
      <w:proofErr w:type="gramStart"/>
      <w:r>
        <w:rPr>
          <w:rFonts w:cs="Arial"/>
        </w:rPr>
        <w:t>Førtidspension</w:t>
      </w:r>
      <w:r w:rsidR="005B1811">
        <w:rPr>
          <w:rFonts w:cs="Arial"/>
        </w:rPr>
        <w:t xml:space="preserve">  gælder</w:t>
      </w:r>
      <w:proofErr w:type="gramEnd"/>
      <w:r w:rsidR="005B1811">
        <w:rPr>
          <w:rFonts w:cs="Arial"/>
        </w:rPr>
        <w:t xml:space="preserve"> det, at kontoen anvendes til </w:t>
      </w:r>
    </w:p>
    <w:p w:rsidR="00A631B9" w:rsidRDefault="005B1811" w:rsidP="00A631B9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  <w:r>
        <w:rPr>
          <w:rFonts w:cs="Arial"/>
        </w:rPr>
        <w:t>bogføring af hjemtaget førtidspension.  Kommunerne kan månedsvis hjemtage 50% af afholdt forbrug.</w:t>
      </w:r>
    </w:p>
    <w:p w:rsidR="005B1811" w:rsidRPr="008E4896" w:rsidRDefault="005B1811" w:rsidP="00A631B9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</w:p>
    <w:p w:rsidR="005B1811" w:rsidRDefault="005B1811" w:rsidP="005B1811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  <w:r>
        <w:rPr>
          <w:rFonts w:cs="Arial"/>
          <w:bCs/>
        </w:rPr>
        <w:t>For konto 46-01-XX-</w:t>
      </w:r>
      <w:r w:rsidR="00540949" w:rsidRPr="008E4896">
        <w:rPr>
          <w:rFonts w:cs="Arial"/>
          <w:bCs/>
        </w:rPr>
        <w:fldChar w:fldCharType="begin"/>
      </w:r>
      <w:r w:rsidR="00540949" w:rsidRPr="008E4896">
        <w:rPr>
          <w:rFonts w:cs="Arial"/>
          <w:bCs/>
        </w:rPr>
        <w:instrText>TC \l3 "</w:instrText>
      </w:r>
      <w:bookmarkStart w:id="7" w:name="_Toc227488029"/>
      <w:bookmarkStart w:id="8" w:name="_Toc341868537"/>
      <w:r w:rsidR="00540949" w:rsidRPr="008E4896">
        <w:rPr>
          <w:rFonts w:cs="Arial"/>
          <w:bCs/>
        </w:rPr>
        <w:instrText>06.45.01.30.00</w:instrText>
      </w:r>
      <w:r w:rsidR="00540949" w:rsidRPr="008E4896">
        <w:rPr>
          <w:rFonts w:cs="Arial"/>
          <w:bCs/>
        </w:rPr>
        <w:tab/>
        <w:instrText>Barselsdagpenge</w:instrText>
      </w:r>
      <w:bookmarkEnd w:id="7"/>
      <w:bookmarkEnd w:id="8"/>
      <w:r w:rsidR="00540949" w:rsidRPr="008E4896">
        <w:rPr>
          <w:rFonts w:cs="Arial"/>
          <w:bCs/>
        </w:rPr>
        <w:fldChar w:fldCharType="end"/>
      </w:r>
      <w:r w:rsidR="003B49CB">
        <w:rPr>
          <w:rFonts w:cs="Arial"/>
          <w:bCs/>
        </w:rPr>
        <w:t>82</w:t>
      </w:r>
      <w:r>
        <w:rPr>
          <w:rFonts w:cs="Arial"/>
          <w:bCs/>
        </w:rPr>
        <w:t xml:space="preserve">-00 </w:t>
      </w:r>
      <w:proofErr w:type="spellStart"/>
      <w:r>
        <w:rPr>
          <w:rFonts w:cs="Arial"/>
          <w:bCs/>
        </w:rPr>
        <w:t>Barselsdagpenge</w:t>
      </w:r>
      <w:proofErr w:type="spellEnd"/>
      <w:r>
        <w:rPr>
          <w:rFonts w:cs="Arial"/>
          <w:bCs/>
        </w:rPr>
        <w:t xml:space="preserve"> gælder det, at k</w:t>
      </w:r>
      <w:r w:rsidR="00540949" w:rsidRPr="008E4896">
        <w:rPr>
          <w:rFonts w:cs="Arial"/>
        </w:rPr>
        <w:t xml:space="preserve">ontoen anvendes til bogføring af hjemtagne </w:t>
      </w:r>
    </w:p>
    <w:p w:rsidR="00540949" w:rsidRPr="008E4896" w:rsidRDefault="00540949" w:rsidP="005B1811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  <w:proofErr w:type="spellStart"/>
      <w:r w:rsidRPr="008E4896">
        <w:rPr>
          <w:rFonts w:cs="Arial"/>
        </w:rPr>
        <w:t>barselsdagpenge</w:t>
      </w:r>
      <w:proofErr w:type="spellEnd"/>
      <w:r w:rsidRPr="008E4896">
        <w:rPr>
          <w:rFonts w:cs="Arial"/>
        </w:rPr>
        <w:t>. Kommu</w:t>
      </w:r>
      <w:r w:rsidRPr="008E4896">
        <w:rPr>
          <w:rFonts w:cs="Arial"/>
        </w:rPr>
        <w:softHyphen/>
        <w:t>nerne kan månedsvis hjemtage 90% af afholdt forbrug.</w:t>
      </w:r>
    </w:p>
    <w:p w:rsidR="005B1811" w:rsidRDefault="005B1811" w:rsidP="00540949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  <w:bCs/>
        </w:rPr>
      </w:pPr>
    </w:p>
    <w:p w:rsidR="005B1811" w:rsidRDefault="005B1811" w:rsidP="005B1811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  <w:r>
        <w:rPr>
          <w:rFonts w:cs="Arial"/>
          <w:bCs/>
        </w:rPr>
        <w:lastRenderedPageBreak/>
        <w:t>For kontoen 47-01-XX-</w:t>
      </w:r>
      <w:r w:rsidR="003B49CB">
        <w:rPr>
          <w:rFonts w:cs="Arial"/>
          <w:bCs/>
        </w:rPr>
        <w:t>82</w:t>
      </w:r>
      <w:r>
        <w:rPr>
          <w:rFonts w:cs="Arial"/>
          <w:bCs/>
        </w:rPr>
        <w:t xml:space="preserve">-01 </w:t>
      </w:r>
      <w:r w:rsidR="00540949" w:rsidRPr="008E4896">
        <w:rPr>
          <w:rFonts w:cs="Arial"/>
          <w:bCs/>
        </w:rPr>
        <w:t>Alderspension</w:t>
      </w:r>
      <w:r w:rsidR="00540949" w:rsidRPr="008E4896">
        <w:rPr>
          <w:rFonts w:cs="Arial"/>
          <w:bCs/>
        </w:rPr>
        <w:fldChar w:fldCharType="begin"/>
      </w:r>
      <w:r w:rsidR="00540949" w:rsidRPr="008E4896">
        <w:rPr>
          <w:rFonts w:cs="Arial"/>
          <w:bCs/>
        </w:rPr>
        <w:instrText>TC \l3 "</w:instrText>
      </w:r>
      <w:bookmarkStart w:id="9" w:name="_Toc227488030"/>
      <w:bookmarkStart w:id="10" w:name="_Toc341868538"/>
      <w:r w:rsidR="00540949" w:rsidRPr="008E4896">
        <w:rPr>
          <w:rFonts w:cs="Arial"/>
          <w:bCs/>
        </w:rPr>
        <w:instrText>06.47.02.xx.xx</w:instrText>
      </w:r>
      <w:r w:rsidR="00540949" w:rsidRPr="008E4896">
        <w:rPr>
          <w:rFonts w:cs="Arial"/>
          <w:bCs/>
        </w:rPr>
        <w:tab/>
        <w:instrText>Alderspension</w:instrText>
      </w:r>
      <w:bookmarkEnd w:id="9"/>
      <w:bookmarkEnd w:id="10"/>
      <w:r w:rsidR="00540949" w:rsidRPr="008E4896">
        <w:rPr>
          <w:rFonts w:cs="Arial"/>
          <w:bCs/>
        </w:rPr>
        <w:fldChar w:fldCharType="end"/>
      </w:r>
      <w:r>
        <w:rPr>
          <w:rFonts w:cs="Arial"/>
          <w:bCs/>
        </w:rPr>
        <w:t xml:space="preserve"> gælder det, at k</w:t>
      </w:r>
      <w:r w:rsidR="00540949" w:rsidRPr="008E4896">
        <w:rPr>
          <w:rFonts w:cs="Arial"/>
        </w:rPr>
        <w:t xml:space="preserve">ontoen anvendes til bogføring af hjemtaget </w:t>
      </w:r>
    </w:p>
    <w:p w:rsidR="00540949" w:rsidRPr="008E4896" w:rsidRDefault="00540949" w:rsidP="005B1811">
      <w:pPr>
        <w:tabs>
          <w:tab w:val="left" w:pos="850"/>
          <w:tab w:val="left" w:pos="1983"/>
          <w:tab w:val="left" w:pos="2551"/>
          <w:tab w:val="left" w:pos="2880"/>
        </w:tabs>
        <w:ind w:left="1983" w:hanging="1983"/>
        <w:jc w:val="both"/>
        <w:rPr>
          <w:rFonts w:cs="Arial"/>
        </w:rPr>
      </w:pPr>
      <w:r w:rsidRPr="008E4896">
        <w:rPr>
          <w:rFonts w:cs="Arial"/>
        </w:rPr>
        <w:t>alderspension. Kommunerne kan månedsvis hjemtage 90% af afholdt forbrug.</w:t>
      </w:r>
    </w:p>
    <w:p w:rsidR="005B1811" w:rsidRDefault="005B1811" w:rsidP="00540949">
      <w:pPr>
        <w:tabs>
          <w:tab w:val="left" w:pos="850"/>
          <w:tab w:val="left" w:pos="1983"/>
          <w:tab w:val="left" w:pos="2551"/>
          <w:tab w:val="left" w:pos="2880"/>
        </w:tabs>
        <w:jc w:val="both"/>
        <w:rPr>
          <w:rFonts w:cs="Arial"/>
        </w:rPr>
      </w:pPr>
    </w:p>
    <w:p w:rsidR="00440CA8" w:rsidRDefault="00440CA8" w:rsidP="00540949">
      <w:pPr>
        <w:tabs>
          <w:tab w:val="left" w:pos="850"/>
          <w:tab w:val="left" w:pos="1983"/>
          <w:tab w:val="left" w:pos="2551"/>
          <w:tab w:val="left" w:pos="2880"/>
        </w:tabs>
        <w:jc w:val="both"/>
        <w:rPr>
          <w:rFonts w:cs="Arial"/>
        </w:rPr>
      </w:pPr>
      <w:r>
        <w:rPr>
          <w:rFonts w:cs="Arial"/>
        </w:rPr>
        <w:t>For ovennævnte gælder generelt at:</w:t>
      </w:r>
    </w:p>
    <w:p w:rsidR="00440CA8" w:rsidRDefault="00440CA8" w:rsidP="00440CA8">
      <w:pPr>
        <w:pStyle w:val="Listeafsnit"/>
        <w:numPr>
          <w:ilvl w:val="1"/>
          <w:numId w:val="1"/>
        </w:numPr>
      </w:pPr>
      <w:r w:rsidRPr="008E4896">
        <w:t>Revisionserklæringer</w:t>
      </w:r>
      <w:r w:rsidR="00F07FCE" w:rsidRPr="008E4896">
        <w:t>: S</w:t>
      </w:r>
      <w:r w:rsidRPr="008E4896">
        <w:t>enest 1. oktober udfærdiger kommunen en totalopgørelse over det foregående finansårs udbetalte børnetilskud</w:t>
      </w:r>
      <w:r w:rsidR="005D0173">
        <w:t xml:space="preserve">, underholdsbidrag, boligsikring, børnetillæg samt </w:t>
      </w:r>
      <w:proofErr w:type="spellStart"/>
      <w:r w:rsidR="005D0173">
        <w:t>barselsdagpenge</w:t>
      </w:r>
      <w:proofErr w:type="spellEnd"/>
      <w:r w:rsidR="005D0173">
        <w:t>,</w:t>
      </w:r>
      <w:r w:rsidRPr="008E4896">
        <w:t xml:space="preserve"> som skal være revisionspåtegnet.  Kommunens revisor skal i den forbindelse erklære, at opgørelsen er i overensstemmelse med kommunens registreringer, og at Grønlands Selvstyres andel af børnetilskuddet er opgjort korrekt.  T</w:t>
      </w:r>
      <w:r>
        <w:t xml:space="preserve">otalopgørelsen sendes til Departementet for Sociale Anliggender, Familie, Ligestilling og Justitsvæsen, </w:t>
      </w:r>
      <w:proofErr w:type="spellStart"/>
      <w:r>
        <w:t>Imaneq</w:t>
      </w:r>
      <w:proofErr w:type="spellEnd"/>
      <w:r>
        <w:t xml:space="preserve"> 4, Postboks 260, 3900 Nuuk.</w:t>
      </w:r>
    </w:p>
    <w:p w:rsidR="00440CA8" w:rsidRDefault="00440CA8" w:rsidP="00440CA8"/>
    <w:p w:rsidR="00440CA8" w:rsidRDefault="00440CA8" w:rsidP="00440CA8">
      <w:pPr>
        <w:ind w:left="1440"/>
      </w:pPr>
      <w:r>
        <w:t>U</w:t>
      </w:r>
      <w:r w:rsidR="00A5572D">
        <w:t>ltimo året skal u</w:t>
      </w:r>
      <w:r>
        <w:t xml:space="preserve">dskrift af </w:t>
      </w:r>
      <w:r>
        <w:rPr>
          <w:b/>
        </w:rPr>
        <w:t>ARTSOPDELT POSTERINGSLISTE</w:t>
      </w:r>
      <w:r>
        <w:t xml:space="preserve"> fremsendes til</w:t>
      </w:r>
      <w:r w:rsidR="00A5572D">
        <w:t xml:space="preserve"> </w:t>
      </w:r>
      <w:hyperlink r:id="rId13" w:history="1">
        <w:r w:rsidR="00A5572D" w:rsidRPr="00870407">
          <w:rPr>
            <w:rStyle w:val="Hyperlink"/>
          </w:rPr>
          <w:t>speciel@nanoq.gl</w:t>
        </w:r>
      </w:hyperlink>
      <w:r w:rsidR="00A5572D">
        <w:t xml:space="preserve"> pr. mail.</w:t>
      </w:r>
    </w:p>
    <w:p w:rsidR="00440CA8" w:rsidRDefault="00440CA8" w:rsidP="00440CA8"/>
    <w:p w:rsidR="00440CA8" w:rsidRPr="008E4896" w:rsidRDefault="00440CA8" w:rsidP="00540949">
      <w:pPr>
        <w:tabs>
          <w:tab w:val="left" w:pos="850"/>
          <w:tab w:val="left" w:pos="1983"/>
          <w:tab w:val="left" w:pos="2551"/>
          <w:tab w:val="left" w:pos="2880"/>
        </w:tabs>
        <w:jc w:val="both"/>
        <w:rPr>
          <w:rFonts w:cs="Arial"/>
        </w:rPr>
      </w:pPr>
    </w:p>
    <w:p w:rsidR="001975B0" w:rsidRPr="00531F2A" w:rsidRDefault="001975B0" w:rsidP="001975B0"/>
    <w:p w:rsidR="00540949" w:rsidRPr="008E4896" w:rsidRDefault="001975B0" w:rsidP="001975B0">
      <w:pPr>
        <w:tabs>
          <w:tab w:val="left" w:pos="850"/>
          <w:tab w:val="left" w:pos="1983"/>
          <w:tab w:val="left" w:pos="2551"/>
          <w:tab w:val="left" w:pos="2880"/>
          <w:tab w:val="right" w:pos="9069"/>
        </w:tabs>
        <w:jc w:val="both"/>
        <w:rPr>
          <w:rFonts w:cs="Arial"/>
        </w:rPr>
      </w:pPr>
      <w:r w:rsidRPr="00531F2A">
        <w:rPr>
          <w:b/>
          <w:sz w:val="24"/>
          <w:szCs w:val="24"/>
        </w:rPr>
        <w:t>Departementet for</w:t>
      </w:r>
      <w:r>
        <w:rPr>
          <w:b/>
          <w:sz w:val="24"/>
          <w:szCs w:val="24"/>
        </w:rPr>
        <w:t xml:space="preserve"> Erhverv</w:t>
      </w:r>
      <w:r w:rsidR="00AB4B5A">
        <w:rPr>
          <w:b/>
          <w:sz w:val="24"/>
          <w:szCs w:val="24"/>
        </w:rPr>
        <w:t xml:space="preserve">, Arbejdsmarked, Handel og </w:t>
      </w:r>
      <w:proofErr w:type="spellStart"/>
      <w:r w:rsidR="00AB4B5A">
        <w:rPr>
          <w:b/>
          <w:sz w:val="24"/>
          <w:szCs w:val="24"/>
        </w:rPr>
        <w:t>Ener</w:t>
      </w:r>
      <w:r>
        <w:rPr>
          <w:b/>
          <w:sz w:val="24"/>
          <w:szCs w:val="24"/>
        </w:rPr>
        <w:t>g</w:t>
      </w:r>
      <w:r w:rsidR="00AB4B5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´s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ISIINs</w:t>
      </w:r>
      <w:proofErr w:type="spellEnd"/>
      <w:r>
        <w:rPr>
          <w:b/>
          <w:sz w:val="24"/>
          <w:szCs w:val="24"/>
        </w:rPr>
        <w:t>) område</w:t>
      </w:r>
    </w:p>
    <w:p w:rsidR="00AB4B5A" w:rsidRDefault="00AB4B5A" w:rsidP="00AB4B5A">
      <w:r>
        <w:t xml:space="preserve">Regninger/fakturaer der vedrører punkttilskud, der er på Departementet for Erhverv, Arbejdsmarked, Handel og </w:t>
      </w:r>
      <w:proofErr w:type="spellStart"/>
      <w:r>
        <w:t>Energi´s</w:t>
      </w:r>
      <w:proofErr w:type="spellEnd"/>
      <w:r>
        <w:t xml:space="preserve"> (</w:t>
      </w:r>
      <w:proofErr w:type="spellStart"/>
      <w:r>
        <w:t>ISIIN`s</w:t>
      </w:r>
      <w:proofErr w:type="spellEnd"/>
      <w:r>
        <w:t xml:space="preserve">) område, Selvstyrets hovedkonti ”64.13.27 Stipendium, </w:t>
      </w:r>
      <w:proofErr w:type="spellStart"/>
      <w:r>
        <w:t>Majoriaq</w:t>
      </w:r>
      <w:proofErr w:type="spellEnd"/>
      <w:r>
        <w:t xml:space="preserve">” samt ”64.13.27 Børnetillæg, </w:t>
      </w:r>
      <w:proofErr w:type="spellStart"/>
      <w:r>
        <w:t>Majoriaq</w:t>
      </w:r>
      <w:proofErr w:type="spellEnd"/>
      <w:r>
        <w:t xml:space="preserve">” sendes til Departementet med GLN nummer </w:t>
      </w:r>
      <w:r w:rsidRPr="00531F2A">
        <w:rPr>
          <w:b/>
        </w:rPr>
        <w:t>579000195</w:t>
      </w:r>
      <w:r>
        <w:rPr>
          <w:b/>
        </w:rPr>
        <w:t>4017</w:t>
      </w:r>
      <w:r w:rsidRPr="00531F2A">
        <w:rPr>
          <w:b/>
        </w:rPr>
        <w:t>.</w:t>
      </w:r>
    </w:p>
    <w:p w:rsidR="00AB4B5A" w:rsidRDefault="00AB4B5A" w:rsidP="00AB4B5A">
      <w:pPr>
        <w:pBdr>
          <w:bottom w:val="single" w:sz="12" w:space="1" w:color="auto"/>
        </w:pBdr>
      </w:pPr>
    </w:p>
    <w:p w:rsidR="00A5572D" w:rsidRDefault="00A5572D" w:rsidP="00AB4B5A"/>
    <w:p w:rsidR="005B1811" w:rsidRDefault="005B1811" w:rsidP="005B1811">
      <w:pPr>
        <w:tabs>
          <w:tab w:val="left" w:pos="850"/>
          <w:tab w:val="left" w:pos="1983"/>
        </w:tabs>
        <w:ind w:left="1983" w:hanging="1983"/>
        <w:jc w:val="both"/>
        <w:rPr>
          <w:rFonts w:cs="Arial"/>
          <w:noProof/>
        </w:rPr>
      </w:pPr>
      <w:r>
        <w:rPr>
          <w:rFonts w:cs="Arial"/>
          <w:noProof/>
        </w:rPr>
        <w:t xml:space="preserve">Kommunerne bogfører refusioner på ISIIN´s område på de kommunale konti, der er vedlagt som bilag til </w:t>
      </w:r>
    </w:p>
    <w:p w:rsidR="005B1811" w:rsidRDefault="005B1811" w:rsidP="005B1811">
      <w:pPr>
        <w:tabs>
          <w:tab w:val="left" w:pos="850"/>
          <w:tab w:val="left" w:pos="1983"/>
        </w:tabs>
        <w:ind w:left="1983" w:hanging="1983"/>
        <w:jc w:val="both"/>
        <w:rPr>
          <w:rFonts w:cs="Arial"/>
          <w:noProof/>
        </w:rPr>
      </w:pPr>
      <w:r>
        <w:rPr>
          <w:rFonts w:cs="Arial"/>
          <w:noProof/>
        </w:rPr>
        <w:t>denne vejledning.</w:t>
      </w:r>
    </w:p>
    <w:p w:rsidR="00540949" w:rsidRPr="008E4896" w:rsidRDefault="00540949" w:rsidP="008E4896">
      <w:pPr>
        <w:tabs>
          <w:tab w:val="left" w:pos="850"/>
          <w:tab w:val="left" w:pos="1983"/>
          <w:tab w:val="left" w:pos="2551"/>
          <w:tab w:val="left" w:pos="2880"/>
        </w:tabs>
        <w:jc w:val="both"/>
        <w:rPr>
          <w:rFonts w:cs="Arial"/>
          <w:u w:val="words"/>
        </w:rPr>
      </w:pPr>
    </w:p>
    <w:p w:rsidR="001F49BA" w:rsidRPr="008E4896" w:rsidRDefault="001F49BA" w:rsidP="001F49BA">
      <w:pPr>
        <w:pStyle w:val="Overskrift3"/>
        <w:rPr>
          <w:sz w:val="24"/>
          <w:szCs w:val="24"/>
        </w:rPr>
      </w:pPr>
      <w:r w:rsidRPr="008E4896">
        <w:rPr>
          <w:sz w:val="24"/>
          <w:szCs w:val="24"/>
        </w:rPr>
        <w:t>Generelt om punkttilskud:</w:t>
      </w:r>
    </w:p>
    <w:p w:rsidR="001F49BA" w:rsidRPr="00F1539C" w:rsidRDefault="001F49BA" w:rsidP="001F49BA">
      <w:r>
        <w:t xml:space="preserve">Kommunerne sender regningerne/fakturaerne til Selvstyret hver måned kort inden en måneds slutning.  Selvstyret skal herefter sørge for at godkende regningerne hurtigst </w:t>
      </w:r>
      <w:r w:rsidRPr="001C4210">
        <w:t>muligt</w:t>
      </w:r>
      <w:r w:rsidRPr="004B00E6">
        <w:t>.</w:t>
      </w:r>
    </w:p>
    <w:p w:rsidR="001F49BA" w:rsidRPr="009B227C" w:rsidRDefault="001F49BA" w:rsidP="001F49BA">
      <w:pPr>
        <w:pStyle w:val="Overskrift1"/>
      </w:pPr>
      <w:r>
        <w:t>Vedrørende ”PKU midler”:</w:t>
      </w:r>
    </w:p>
    <w:p w:rsidR="001F49BA" w:rsidRDefault="001F49BA" w:rsidP="001F49BA">
      <w:r>
        <w:t xml:space="preserve">Departementet for Erhverv, Arbejdsmarked og Handel har på hovedkonto ”64.01.04 Kompetenceudviklingskurser” midler til kompetenceudvikling af ufaglærte.  Midlerne er sat af til ”Projekt Kompetenceudvikling for Ufaglærte ” (heraf navnet PKU).  Brancheskolerne afholder kurserne.  </w:t>
      </w:r>
    </w:p>
    <w:p w:rsidR="001F49BA" w:rsidRDefault="001F49BA" w:rsidP="001F49BA"/>
    <w:p w:rsidR="0089035D" w:rsidRDefault="0089035D" w:rsidP="001F49BA">
      <w:r>
        <w:t>Departementet for Erhverv er sammen med Departementet for Uddannelse ved at undersøge, hvordan PKU midler fremover bliver udbetalt til kommunerne.</w:t>
      </w:r>
    </w:p>
    <w:p w:rsidR="001F49BA" w:rsidRPr="00CF0694" w:rsidRDefault="001F49BA" w:rsidP="001F49BA">
      <w:pPr>
        <w:pStyle w:val="Overskrift1"/>
      </w:pPr>
      <w:r w:rsidRPr="00054F63">
        <w:t>Vedrørende ”Kommunal gæld”:</w:t>
      </w:r>
    </w:p>
    <w:p w:rsidR="001F49BA" w:rsidRDefault="001F49BA" w:rsidP="001F49BA">
      <w:r>
        <w:t>Kommunal gæld vedrører Finanslovskonto ”20.10.42 Udlån til kommuner, afdrag”.  Betingelser for afdrag af gælden kan læses i finanslovsteksten.</w:t>
      </w:r>
    </w:p>
    <w:p w:rsidR="001F49BA" w:rsidRDefault="001F49BA" w:rsidP="001F49BA"/>
    <w:p w:rsidR="001F49BA" w:rsidRDefault="001F49BA" w:rsidP="001F49BA">
      <w:proofErr w:type="spellStart"/>
      <w:r>
        <w:t>DcR</w:t>
      </w:r>
      <w:proofErr w:type="spellEnd"/>
      <w:r>
        <w:t xml:space="preserve"> sørger for at fremsende regninger hver måned til kommunen på kommunegælden, indtil gælden er betalt ud.</w:t>
      </w:r>
    </w:p>
    <w:p w:rsidR="001F49BA" w:rsidRPr="00054F63" w:rsidRDefault="001F49BA" w:rsidP="001F49BA">
      <w:pPr>
        <w:pStyle w:val="Overskrift1"/>
      </w:pPr>
      <w:r w:rsidRPr="00054F63">
        <w:lastRenderedPageBreak/>
        <w:t>Vedrørende ”Andre overførsler fra kommuner til Selvstyret”.</w:t>
      </w:r>
    </w:p>
    <w:p w:rsidR="001F49BA" w:rsidRDefault="001F49BA" w:rsidP="001F49BA">
      <w:r>
        <w:t>Kommunerne skal sende regninger/fakturaer på andre tilskud, som ikke er nævnt under ”Punkttilskud” eller ”PKU midler” til de rette d</w:t>
      </w:r>
      <w:r w:rsidR="00A5572D">
        <w:t>epartementer, som efter godkendelse bliver udbetalt</w:t>
      </w:r>
      <w:r>
        <w:t>.  Som eksempel kan nævnes udgifter til revalidering (Finanslovskonto ”64.13.12 Revalidering” som kan dække op til 50% af kommunernes revalideringsudgifter inden for bevillingen).</w:t>
      </w:r>
    </w:p>
    <w:p w:rsidR="001F49BA" w:rsidRDefault="001F49BA" w:rsidP="001F49BA"/>
    <w:p w:rsidR="001F49BA" w:rsidRDefault="001F49BA" w:rsidP="001F49BA">
      <w:r>
        <w:t xml:space="preserve">”Almindelige” regninger/fakturaer til dag,- natrenovation mv. skal sendes til </w:t>
      </w:r>
      <w:hyperlink r:id="rId14" w:history="1">
        <w:r w:rsidRPr="0023327C">
          <w:rPr>
            <w:rStyle w:val="Hyperlink"/>
            <w:rFonts w:eastAsiaTheme="majorEastAsia"/>
          </w:rPr>
          <w:t>faktura@nanoq.gl</w:t>
        </w:r>
      </w:hyperlink>
      <w:r>
        <w:t xml:space="preserve"> med adresse til de rette institutioner med rette GLN numre.</w:t>
      </w:r>
    </w:p>
    <w:p w:rsidR="001F49BA" w:rsidRDefault="001F49BA" w:rsidP="001F49BA"/>
    <w:p w:rsidR="001F49BA" w:rsidRDefault="001F49BA" w:rsidP="001F49BA">
      <w:r>
        <w:t xml:space="preserve">Kommunerne skal have én og samme kundenummer for Selvtyret.  </w:t>
      </w:r>
    </w:p>
    <w:p w:rsidR="001F49BA" w:rsidRDefault="001F49BA" w:rsidP="001F49BA">
      <w:pPr>
        <w:pStyle w:val="Overskrift1"/>
      </w:pPr>
      <w:r w:rsidRPr="00054F63">
        <w:t>Vedrørende ”Modregning og Fejl”:</w:t>
      </w:r>
    </w:p>
    <w:p w:rsidR="001F49BA" w:rsidRPr="003E7B36" w:rsidRDefault="001F49BA" w:rsidP="001F49BA">
      <w:pPr>
        <w:pStyle w:val="Overskrift3"/>
      </w:pPr>
      <w:r>
        <w:t>Modregning</w:t>
      </w:r>
    </w:p>
    <w:p w:rsidR="001F49BA" w:rsidRDefault="001F49BA" w:rsidP="001F49BA">
      <w:r>
        <w:t>Såfremt en kommune ikke har betalt en regning/faktura fra Selvstyret inden for betalingsfristen ”løbende måned + 10 dage”, og kommunen ikke har fremsendt berettigede indsigelser imod modregning, bliver det forfaldne beløb modregnet i det bloktilskud, kommunen skal have i det efterfølgende måned.</w:t>
      </w:r>
    </w:p>
    <w:p w:rsidR="001F49BA" w:rsidRDefault="001F49BA" w:rsidP="001F49BA"/>
    <w:p w:rsidR="001F49BA" w:rsidRDefault="001F49BA" w:rsidP="001F49BA">
      <w:r>
        <w:t xml:space="preserve">Inden modregning sker, sender </w:t>
      </w:r>
      <w:proofErr w:type="spellStart"/>
      <w:r>
        <w:t>DcR</w:t>
      </w:r>
      <w:proofErr w:type="spellEnd"/>
      <w:r>
        <w:t xml:space="preserve"> en specifikation til kommunen over de forfaldne fakturaer.  Specifikationen bliver sendt til kommunen den 10. i hver måned.</w:t>
      </w:r>
    </w:p>
    <w:p w:rsidR="001F49BA" w:rsidRDefault="001F49BA" w:rsidP="001F49BA"/>
    <w:p w:rsidR="001F49BA" w:rsidRDefault="001F49BA" w:rsidP="001F49BA">
      <w:pPr>
        <w:rPr>
          <w:u w:val="single"/>
        </w:rPr>
      </w:pPr>
      <w:r>
        <w:t xml:space="preserve">Kommunen har herefter, </w:t>
      </w:r>
      <w:proofErr w:type="spellStart"/>
      <w:r w:rsidR="00A5572D">
        <w:t>indt</w:t>
      </w:r>
      <w:r>
        <w:t>til</w:t>
      </w:r>
      <w:proofErr w:type="spellEnd"/>
      <w:r>
        <w:t xml:space="preserve"> den 24. i måneden, mulighed for at fremkomme med berettigede indsigelser imod modregningen. Såfremt der er indsigelser mod modregningen, bliver de forfaldne regninger/fakturaer ikke modregnet i bloktilskuddet.</w:t>
      </w:r>
    </w:p>
    <w:p w:rsidR="001F49BA" w:rsidRPr="003E7B36" w:rsidRDefault="001F49BA" w:rsidP="001F49BA">
      <w:pPr>
        <w:pStyle w:val="Overskrift3"/>
      </w:pPr>
      <w:r w:rsidRPr="003E7B36">
        <w:t>Vedrørende ”Fejl eller uenigheder om beløb”.</w:t>
      </w:r>
    </w:p>
    <w:p w:rsidR="001F49BA" w:rsidRDefault="001F49BA" w:rsidP="001F49BA">
      <w:r>
        <w:t>For at minimere fejl, skal hver part fremsende en liste over åbne poster til hinanden hver måned. For Selvstyrets vedkommende bliver listen fremsendt til kommunen den 10. i hver måned.</w:t>
      </w:r>
    </w:p>
    <w:p w:rsidR="001F49BA" w:rsidRDefault="001F49BA" w:rsidP="001F49BA"/>
    <w:p w:rsidR="001F49BA" w:rsidRDefault="001F49BA" w:rsidP="001F49BA">
      <w:r>
        <w:t>Såfremt der er sket en fejl i en regning/faktura, eller at der er uenighed om et beløb, skal den part, der er uenig anmode modparten om en kreditnota, med en tydelig forklaring på, hvorfor en fremsendt regning/faktura ikke kan godkendes.  Ved samme lejlighed skal den part, der ikke vil godkende regningen/fakturaen, overfor modparten fremsætte et ønske om at få tilsendt en ny regning/faktura.  Ved udstedelse af en kreditnota, skal der tydeligt angives reference til den oprindelige regning/faktura.</w:t>
      </w:r>
    </w:p>
    <w:p w:rsidR="001F49BA" w:rsidRDefault="001F49BA" w:rsidP="001F49BA">
      <w:r>
        <w:t>Når en kreditnota er fremkommet, vil den faktura, der er uenighed om, blive godkendt sammen med kreditnotaen.</w:t>
      </w:r>
    </w:p>
    <w:p w:rsidR="001F49BA" w:rsidRDefault="001F49BA" w:rsidP="001F49BA"/>
    <w:p w:rsidR="001F49BA" w:rsidRPr="00156749" w:rsidRDefault="001F49BA" w:rsidP="001F49BA">
      <w:r>
        <w:t xml:space="preserve">NB: Der må </w:t>
      </w:r>
      <w:r w:rsidRPr="001B0FED">
        <w:rPr>
          <w:u w:val="single"/>
        </w:rPr>
        <w:t>kun</w:t>
      </w:r>
      <w:r>
        <w:t xml:space="preserve"> udstedes kreditnotaer, såfremt der er en regning/faktura, der skal krediteres.</w:t>
      </w:r>
    </w:p>
    <w:p w:rsidR="009E2C16" w:rsidRDefault="009E2C16"/>
    <w:sectPr w:rsidR="009E2C16"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54" w:rsidRDefault="00123854" w:rsidP="00AB4B5A">
      <w:pPr>
        <w:spacing w:line="240" w:lineRule="auto"/>
      </w:pPr>
      <w:r>
        <w:separator/>
      </w:r>
    </w:p>
  </w:endnote>
  <w:endnote w:type="continuationSeparator" w:id="0">
    <w:p w:rsidR="00123854" w:rsidRDefault="00123854" w:rsidP="00AB4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429071"/>
      <w:docPartObj>
        <w:docPartGallery w:val="Page Numbers (Bottom of Page)"/>
        <w:docPartUnique/>
      </w:docPartObj>
    </w:sdtPr>
    <w:sdtEndPr/>
    <w:sdtContent>
      <w:p w:rsidR="00AB4B5A" w:rsidRDefault="00AB4B5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37E">
          <w:rPr>
            <w:noProof/>
          </w:rPr>
          <w:t>1</w:t>
        </w:r>
        <w:r>
          <w:fldChar w:fldCharType="end"/>
        </w:r>
      </w:p>
    </w:sdtContent>
  </w:sdt>
  <w:p w:rsidR="00AB4B5A" w:rsidRDefault="00AB4B5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54" w:rsidRDefault="00123854" w:rsidP="00AB4B5A">
      <w:pPr>
        <w:spacing w:line="240" w:lineRule="auto"/>
      </w:pPr>
      <w:r>
        <w:separator/>
      </w:r>
    </w:p>
  </w:footnote>
  <w:footnote w:type="continuationSeparator" w:id="0">
    <w:p w:rsidR="00123854" w:rsidRDefault="00123854" w:rsidP="00AB4B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4A88"/>
    <w:multiLevelType w:val="multilevel"/>
    <w:tmpl w:val="0022801A"/>
    <w:lvl w:ilvl="0">
      <w:start w:val="6"/>
      <w:numFmt w:val="decimalZero"/>
      <w:lvlText w:val="%1"/>
      <w:lvlJc w:val="left"/>
      <w:pPr>
        <w:tabs>
          <w:tab w:val="num" w:pos="1980"/>
        </w:tabs>
        <w:ind w:left="1980" w:hanging="1980"/>
      </w:pPr>
      <w:rPr>
        <w:rFonts w:hint="default"/>
        <w:b/>
        <w:u w:val="words"/>
      </w:rPr>
    </w:lvl>
    <w:lvl w:ilvl="1">
      <w:start w:val="40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  <w:b/>
        <w:u w:val="words"/>
      </w:rPr>
    </w:lvl>
    <w:lvl w:ilvl="2">
      <w:start w:val="13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  <w:b/>
        <w:u w:val="words"/>
      </w:rPr>
    </w:lvl>
    <w:lvl w:ilvl="3">
      <w:start w:val="5"/>
      <w:numFmt w:val="decimalZero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  <w:b/>
        <w:u w:val="words"/>
      </w:rPr>
    </w:lvl>
    <w:lvl w:ilvl="4">
      <w:start w:val="14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  <w:b/>
        <w:u w:val="words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  <w:b/>
        <w:u w:val="words"/>
      </w:rPr>
    </w:lvl>
    <w:lvl w:ilvl="6">
      <w:start w:val="1"/>
      <w:numFmt w:val="lowerLetter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  <w:b/>
        <w:u w:val="words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  <w:b/>
        <w:u w:val="words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  <w:b/>
        <w:u w:val="words"/>
      </w:rPr>
    </w:lvl>
  </w:abstractNum>
  <w:abstractNum w:abstractNumId="1">
    <w:nsid w:val="5A441C3F"/>
    <w:multiLevelType w:val="hybridMultilevel"/>
    <w:tmpl w:val="E7401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C466D"/>
    <w:multiLevelType w:val="hybridMultilevel"/>
    <w:tmpl w:val="2A660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CD"/>
    <w:rsid w:val="0000792D"/>
    <w:rsid w:val="000251DD"/>
    <w:rsid w:val="00123854"/>
    <w:rsid w:val="001975B0"/>
    <w:rsid w:val="001B56FA"/>
    <w:rsid w:val="001F49BA"/>
    <w:rsid w:val="00286F8C"/>
    <w:rsid w:val="00350895"/>
    <w:rsid w:val="003B49CB"/>
    <w:rsid w:val="003C2BA3"/>
    <w:rsid w:val="00440CA8"/>
    <w:rsid w:val="004A7CCD"/>
    <w:rsid w:val="004B54ED"/>
    <w:rsid w:val="00513A77"/>
    <w:rsid w:val="00540949"/>
    <w:rsid w:val="005A495F"/>
    <w:rsid w:val="005B1811"/>
    <w:rsid w:val="005D0173"/>
    <w:rsid w:val="005E7835"/>
    <w:rsid w:val="00656907"/>
    <w:rsid w:val="007854E6"/>
    <w:rsid w:val="008634DF"/>
    <w:rsid w:val="00863BDA"/>
    <w:rsid w:val="008739D0"/>
    <w:rsid w:val="0089035D"/>
    <w:rsid w:val="008D6138"/>
    <w:rsid w:val="008E4896"/>
    <w:rsid w:val="009C08B9"/>
    <w:rsid w:val="009E2C16"/>
    <w:rsid w:val="00A5572D"/>
    <w:rsid w:val="00A61B14"/>
    <w:rsid w:val="00A631B9"/>
    <w:rsid w:val="00AB4B5A"/>
    <w:rsid w:val="00AC6C99"/>
    <w:rsid w:val="00B35525"/>
    <w:rsid w:val="00B51D72"/>
    <w:rsid w:val="00B7505B"/>
    <w:rsid w:val="00BC3EAE"/>
    <w:rsid w:val="00C04B11"/>
    <w:rsid w:val="00C417C2"/>
    <w:rsid w:val="00C71B9B"/>
    <w:rsid w:val="00E5537E"/>
    <w:rsid w:val="00E65DEE"/>
    <w:rsid w:val="00EC75BB"/>
    <w:rsid w:val="00F07FCE"/>
    <w:rsid w:val="00F730E3"/>
    <w:rsid w:val="00FB17A8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BA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4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1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F4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C6C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49BA"/>
    <w:rPr>
      <w:rFonts w:asciiTheme="majorHAnsi" w:eastAsiaTheme="majorEastAsia" w:hAnsiTheme="majorHAnsi" w:cstheme="majorBidi"/>
      <w:b/>
      <w:bCs/>
      <w:color w:val="4F81BD" w:themeColor="accent1"/>
      <w:szCs w:val="20"/>
      <w:lang w:eastAsia="en-GB"/>
    </w:rPr>
  </w:style>
  <w:style w:type="character" w:styleId="Hyperlink">
    <w:name w:val="Hyperlink"/>
    <w:basedOn w:val="Standardskrifttypeiafsnit"/>
    <w:uiPriority w:val="99"/>
    <w:unhideWhenUsed/>
    <w:rsid w:val="001F49B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08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08B9"/>
    <w:rPr>
      <w:rFonts w:ascii="Tahoma" w:eastAsia="Times New Roman" w:hAnsi="Tahoma" w:cs="Tahoma"/>
      <w:sz w:val="16"/>
      <w:szCs w:val="16"/>
      <w:lang w:eastAsia="en-GB"/>
    </w:rPr>
  </w:style>
  <w:style w:type="paragraph" w:styleId="Listeafsnit">
    <w:name w:val="List Paragraph"/>
    <w:basedOn w:val="Normal"/>
    <w:uiPriority w:val="34"/>
    <w:qFormat/>
    <w:rsid w:val="004B54ED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AC6C9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styleId="Sidehoved">
    <w:name w:val="header"/>
    <w:basedOn w:val="Normal"/>
    <w:link w:val="SidehovedTegn"/>
    <w:rsid w:val="00AC6C99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val="en-US" w:eastAsia="da-DK"/>
    </w:rPr>
  </w:style>
  <w:style w:type="character" w:customStyle="1" w:styleId="SidehovedTegn">
    <w:name w:val="Sidehoved Tegn"/>
    <w:basedOn w:val="Standardskrifttypeiafsnit"/>
    <w:link w:val="Sidehoved"/>
    <w:rsid w:val="00AC6C99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paragraph" w:styleId="Sidefod">
    <w:name w:val="footer"/>
    <w:basedOn w:val="Normal"/>
    <w:link w:val="SidefodTegn"/>
    <w:uiPriority w:val="99"/>
    <w:unhideWhenUsed/>
    <w:rsid w:val="00AB4B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B5A"/>
    <w:rPr>
      <w:rFonts w:ascii="Arial" w:eastAsia="Times New Roman" w:hAnsi="Arial" w:cs="Times New Roman"/>
      <w:sz w:val="20"/>
      <w:szCs w:val="20"/>
      <w:lang w:eastAsia="en-GB"/>
    </w:rPr>
  </w:style>
  <w:style w:type="paragraph" w:styleId="Ingenafstand">
    <w:name w:val="No Spacing"/>
    <w:uiPriority w:val="1"/>
    <w:qFormat/>
    <w:rsid w:val="00FB17A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B1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BA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4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1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F4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C6C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49BA"/>
    <w:rPr>
      <w:rFonts w:asciiTheme="majorHAnsi" w:eastAsiaTheme="majorEastAsia" w:hAnsiTheme="majorHAnsi" w:cstheme="majorBidi"/>
      <w:b/>
      <w:bCs/>
      <w:color w:val="4F81BD" w:themeColor="accent1"/>
      <w:szCs w:val="20"/>
      <w:lang w:eastAsia="en-GB"/>
    </w:rPr>
  </w:style>
  <w:style w:type="character" w:styleId="Hyperlink">
    <w:name w:val="Hyperlink"/>
    <w:basedOn w:val="Standardskrifttypeiafsnit"/>
    <w:uiPriority w:val="99"/>
    <w:unhideWhenUsed/>
    <w:rsid w:val="001F49B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08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08B9"/>
    <w:rPr>
      <w:rFonts w:ascii="Tahoma" w:eastAsia="Times New Roman" w:hAnsi="Tahoma" w:cs="Tahoma"/>
      <w:sz w:val="16"/>
      <w:szCs w:val="16"/>
      <w:lang w:eastAsia="en-GB"/>
    </w:rPr>
  </w:style>
  <w:style w:type="paragraph" w:styleId="Listeafsnit">
    <w:name w:val="List Paragraph"/>
    <w:basedOn w:val="Normal"/>
    <w:uiPriority w:val="34"/>
    <w:qFormat/>
    <w:rsid w:val="004B54ED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AC6C9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styleId="Sidehoved">
    <w:name w:val="header"/>
    <w:basedOn w:val="Normal"/>
    <w:link w:val="SidehovedTegn"/>
    <w:rsid w:val="00AC6C99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val="en-US" w:eastAsia="da-DK"/>
    </w:rPr>
  </w:style>
  <w:style w:type="character" w:customStyle="1" w:styleId="SidehovedTegn">
    <w:name w:val="Sidehoved Tegn"/>
    <w:basedOn w:val="Standardskrifttypeiafsnit"/>
    <w:link w:val="Sidehoved"/>
    <w:rsid w:val="00AC6C99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paragraph" w:styleId="Sidefod">
    <w:name w:val="footer"/>
    <w:basedOn w:val="Normal"/>
    <w:link w:val="SidefodTegn"/>
    <w:uiPriority w:val="99"/>
    <w:unhideWhenUsed/>
    <w:rsid w:val="00AB4B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B5A"/>
    <w:rPr>
      <w:rFonts w:ascii="Arial" w:eastAsia="Times New Roman" w:hAnsi="Arial" w:cs="Times New Roman"/>
      <w:sz w:val="20"/>
      <w:szCs w:val="20"/>
      <w:lang w:eastAsia="en-GB"/>
    </w:rPr>
  </w:style>
  <w:style w:type="paragraph" w:styleId="Ingenafstand">
    <w:name w:val="No Spacing"/>
    <w:uiPriority w:val="1"/>
    <w:qFormat/>
    <w:rsid w:val="00FB17A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B1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eciel@nanoq.g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sf@nanoq.g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f.g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faktura@nanoq.g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aktura@nanoq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0FC4-F095-496B-A5BE-FC94566F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2017-04-11T14:46:00Z</dcterms:created>
  <dcterms:modified xsi:type="dcterms:W3CDTF">2017-04-11T15:00:00Z</dcterms:modified>
</cp:coreProperties>
</file>